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62FBC" w14:textId="74A7B18B" w:rsidR="00DA188E" w:rsidRDefault="00CC2D4A" w:rsidP="00DA188E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55197">
        <w:rPr>
          <w:rFonts w:asciiTheme="minorHAnsi" w:hAnsiTheme="minorHAnsi" w:cstheme="minorHAnsi"/>
        </w:rPr>
        <w:t>nswer</w:t>
      </w:r>
    </w:p>
    <w:p w14:paraId="4D864ED1" w14:textId="6F9ADF23" w:rsidR="00921318" w:rsidRPr="00A320CB" w:rsidRDefault="00F1780B" w:rsidP="00A320CB">
      <w:pPr>
        <w:pStyle w:val="ListParagraph"/>
        <w:numPr>
          <w:ilvl w:val="0"/>
          <w:numId w:val="26"/>
        </w:numPr>
        <w:rPr>
          <w:i/>
        </w:rPr>
      </w:pPr>
      <w:r w:rsidRPr="00A320CB">
        <w:rPr>
          <w:i/>
        </w:rPr>
        <w:t>What method(s) of synthesis can you use?</w:t>
      </w:r>
      <w:r w:rsidR="00BF4B93" w:rsidRPr="00A320CB">
        <w:rPr>
          <w:i/>
        </w:rPr>
        <w:t xml:space="preserve"> Which studies will you include in each synthesis?</w:t>
      </w:r>
    </w:p>
    <w:p w14:paraId="236F255F" w14:textId="4330634C" w:rsidR="0043499A" w:rsidRPr="0043499A" w:rsidRDefault="0043499A" w:rsidP="00DA188E">
      <w:r>
        <w:t>See the Table on page 2 for the studies that contribute to each synthesis method.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932"/>
        <w:gridCol w:w="4252"/>
      </w:tblGrid>
      <w:tr w:rsidR="00DF75B2" w:rsidRPr="00C70E0C" w14:paraId="6048F625" w14:textId="2955DE35" w:rsidTr="00DF75B2"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</w:tcPr>
          <w:p w14:paraId="404FE56C" w14:textId="699AF909" w:rsidR="00DF75B2" w:rsidRPr="00C70E0C" w:rsidRDefault="00DF75B2" w:rsidP="00DA188E">
            <w:pPr>
              <w:rPr>
                <w:b/>
                <w:sz w:val="20"/>
              </w:rPr>
            </w:pPr>
            <w:r w:rsidRPr="00C70E0C">
              <w:rPr>
                <w:b/>
                <w:sz w:val="20"/>
              </w:rPr>
              <w:t>Synthesis method</w:t>
            </w:r>
          </w:p>
        </w:tc>
        <w:tc>
          <w:tcPr>
            <w:tcW w:w="1932" w:type="dxa"/>
            <w:tcBorders>
              <w:top w:val="single" w:sz="12" w:space="0" w:color="auto"/>
              <w:bottom w:val="single" w:sz="12" w:space="0" w:color="auto"/>
            </w:tcBorders>
          </w:tcPr>
          <w:p w14:paraId="17C0F378" w14:textId="49DA988E" w:rsidR="00DF75B2" w:rsidRPr="00C70E0C" w:rsidRDefault="00DF75B2" w:rsidP="00DA188E">
            <w:pPr>
              <w:rPr>
                <w:b/>
                <w:sz w:val="20"/>
              </w:rPr>
            </w:pPr>
            <w:r w:rsidRPr="00C70E0C">
              <w:rPr>
                <w:b/>
                <w:sz w:val="20"/>
              </w:rPr>
              <w:t>Number of studies (n = 12)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5E3A6361" w14:textId="100B45D8" w:rsidR="00DF75B2" w:rsidRPr="00C70E0C" w:rsidRDefault="00DF75B2" w:rsidP="00DA188E">
            <w:pPr>
              <w:rPr>
                <w:b/>
                <w:sz w:val="20"/>
              </w:rPr>
            </w:pPr>
            <w:r w:rsidRPr="00C70E0C">
              <w:rPr>
                <w:b/>
                <w:sz w:val="20"/>
              </w:rPr>
              <w:t>Notes</w:t>
            </w:r>
          </w:p>
        </w:tc>
      </w:tr>
      <w:tr w:rsidR="00DF75B2" w:rsidRPr="00C70E0C" w14:paraId="18C748C4" w14:textId="01036F10" w:rsidTr="00DF75B2">
        <w:tc>
          <w:tcPr>
            <w:tcW w:w="2463" w:type="dxa"/>
            <w:tcBorders>
              <w:top w:val="single" w:sz="12" w:space="0" w:color="auto"/>
              <w:bottom w:val="single" w:sz="4" w:space="0" w:color="auto"/>
            </w:tcBorders>
          </w:tcPr>
          <w:p w14:paraId="6A17C214" w14:textId="0B29DA95" w:rsidR="00DF75B2" w:rsidRPr="00C70E0C" w:rsidRDefault="00DF75B2" w:rsidP="00DA188E">
            <w:pPr>
              <w:rPr>
                <w:sz w:val="20"/>
              </w:rPr>
            </w:pPr>
            <w:r w:rsidRPr="00C70E0C">
              <w:rPr>
                <w:sz w:val="20"/>
              </w:rPr>
              <w:t>Vote counting based on the direction of effect</w:t>
            </w:r>
          </w:p>
        </w:tc>
        <w:tc>
          <w:tcPr>
            <w:tcW w:w="1932" w:type="dxa"/>
            <w:tcBorders>
              <w:top w:val="single" w:sz="12" w:space="0" w:color="auto"/>
              <w:bottom w:val="single" w:sz="4" w:space="0" w:color="auto"/>
            </w:tcBorders>
          </w:tcPr>
          <w:p w14:paraId="63FA6A27" w14:textId="6F6E8AFF" w:rsidR="00DF75B2" w:rsidRPr="00C70E0C" w:rsidRDefault="00DF75B2" w:rsidP="00DA188E">
            <w:pPr>
              <w:rPr>
                <w:sz w:val="20"/>
              </w:rPr>
            </w:pPr>
            <w:r w:rsidRPr="00C70E0C">
              <w:rPr>
                <w:sz w:val="20"/>
              </w:rPr>
              <w:t>11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</w:tcPr>
          <w:p w14:paraId="7BC85EB9" w14:textId="77777777" w:rsidR="00DF75B2" w:rsidRPr="00C70E0C" w:rsidRDefault="00DF75B2" w:rsidP="00DA188E">
            <w:pPr>
              <w:rPr>
                <w:sz w:val="20"/>
              </w:rPr>
            </w:pPr>
          </w:p>
        </w:tc>
      </w:tr>
      <w:tr w:rsidR="00DF75B2" w:rsidRPr="00C70E0C" w14:paraId="5E2B9B8A" w14:textId="50E6DBF7" w:rsidTr="00DF75B2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303F3E94" w14:textId="454BE40C" w:rsidR="00DF75B2" w:rsidRPr="00C70E0C" w:rsidRDefault="00DF75B2" w:rsidP="00DA188E">
            <w:pPr>
              <w:rPr>
                <w:sz w:val="20"/>
              </w:rPr>
            </w:pPr>
            <w:r w:rsidRPr="00C70E0C">
              <w:rPr>
                <w:sz w:val="20"/>
              </w:rPr>
              <w:t>Combining P values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79EB97CD" w14:textId="0F41445E" w:rsidR="00DF75B2" w:rsidRPr="00C70E0C" w:rsidRDefault="00EA4D01" w:rsidP="00DA188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3916261" w14:textId="77777777" w:rsidR="00DF75B2" w:rsidRPr="00C70E0C" w:rsidRDefault="00DF75B2" w:rsidP="00DA188E">
            <w:pPr>
              <w:rPr>
                <w:sz w:val="20"/>
              </w:rPr>
            </w:pPr>
          </w:p>
        </w:tc>
      </w:tr>
      <w:tr w:rsidR="00DF75B2" w:rsidRPr="00C70E0C" w14:paraId="644A78C7" w14:textId="77777777" w:rsidTr="00DF75B2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0BAB88C5" w14:textId="607BD81D" w:rsidR="00DF75B2" w:rsidRPr="00C70E0C" w:rsidRDefault="00DF75B2" w:rsidP="00DA188E">
            <w:pPr>
              <w:rPr>
                <w:sz w:val="20"/>
              </w:rPr>
            </w:pPr>
            <w:r w:rsidRPr="00C70E0C">
              <w:rPr>
                <w:sz w:val="20"/>
              </w:rPr>
              <w:t>Summary of effect estimates</w:t>
            </w:r>
            <w:r w:rsidR="00E73AF4">
              <w:rPr>
                <w:sz w:val="20"/>
              </w:rPr>
              <w:t xml:space="preserve"> (only considering ORs and RR)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678B44FC" w14:textId="0A506EA9" w:rsidR="00DF75B2" w:rsidRDefault="00301B48" w:rsidP="00DA188E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862570" w:rsidRPr="00C70E0C">
              <w:rPr>
                <w:sz w:val="20"/>
              </w:rPr>
              <w:t xml:space="preserve"> (ORs)</w:t>
            </w:r>
          </w:p>
          <w:p w14:paraId="38DFEB73" w14:textId="01586DF4" w:rsidR="00E87526" w:rsidRDefault="00E87526" w:rsidP="00DA188E">
            <w:pPr>
              <w:rPr>
                <w:sz w:val="20"/>
              </w:rPr>
            </w:pPr>
          </w:p>
          <w:p w14:paraId="387ECE95" w14:textId="73C7F2A8" w:rsidR="00E87526" w:rsidRDefault="00E87526" w:rsidP="00DA188E">
            <w:pPr>
              <w:rPr>
                <w:sz w:val="20"/>
              </w:rPr>
            </w:pPr>
          </w:p>
          <w:p w14:paraId="012AC91B" w14:textId="284F416A" w:rsidR="004E56B4" w:rsidRPr="00C70E0C" w:rsidRDefault="005F66C9" w:rsidP="00C82E7A">
            <w:pPr>
              <w:rPr>
                <w:sz w:val="20"/>
              </w:rPr>
            </w:pPr>
            <w:r>
              <w:rPr>
                <w:sz w:val="20"/>
              </w:rPr>
              <w:t>5 (RR)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A2FB288" w14:textId="1BCC13F1" w:rsidR="00DF75B2" w:rsidRDefault="00C70E0C" w:rsidP="00DA188E">
            <w:pPr>
              <w:rPr>
                <w:sz w:val="20"/>
              </w:rPr>
            </w:pPr>
            <w:r w:rsidRPr="00C70E0C">
              <w:rPr>
                <w:sz w:val="20"/>
              </w:rPr>
              <w:t xml:space="preserve">Potentially </w:t>
            </w:r>
            <w:r w:rsidR="00301B48">
              <w:rPr>
                <w:sz w:val="20"/>
              </w:rPr>
              <w:t>8</w:t>
            </w:r>
            <w:r w:rsidRPr="00C70E0C">
              <w:rPr>
                <w:sz w:val="20"/>
              </w:rPr>
              <w:t xml:space="preserve"> </w:t>
            </w:r>
            <w:r w:rsidR="0099053B">
              <w:rPr>
                <w:sz w:val="20"/>
              </w:rPr>
              <w:t>studies</w:t>
            </w:r>
            <w:r w:rsidR="009D56AF">
              <w:rPr>
                <w:sz w:val="20"/>
              </w:rPr>
              <w:t xml:space="preserve"> if the </w:t>
            </w:r>
            <w:r>
              <w:rPr>
                <w:sz w:val="20"/>
              </w:rPr>
              <w:t xml:space="preserve">SMD </w:t>
            </w:r>
            <w:r w:rsidR="00AB4AF4">
              <w:rPr>
                <w:sz w:val="20"/>
              </w:rPr>
              <w:t xml:space="preserve">in </w:t>
            </w:r>
            <w:r>
              <w:rPr>
                <w:sz w:val="20"/>
              </w:rPr>
              <w:t>Crowe 2010</w:t>
            </w:r>
            <w:r w:rsidR="00AB4AF4">
              <w:rPr>
                <w:sz w:val="20"/>
              </w:rPr>
              <w:t xml:space="preserve"> is converted to an OR</w:t>
            </w:r>
            <w:r w:rsidR="00317328">
              <w:rPr>
                <w:sz w:val="20"/>
              </w:rPr>
              <w:t xml:space="preserve"> (see Chapter 10</w:t>
            </w:r>
            <w:r w:rsidR="009252E1">
              <w:rPr>
                <w:sz w:val="20"/>
              </w:rPr>
              <w:t xml:space="preserve"> Cochrane Handbook</w:t>
            </w:r>
            <w:r w:rsidR="003C470A">
              <w:rPr>
                <w:sz w:val="20"/>
              </w:rPr>
              <w:t>*</w:t>
            </w:r>
            <w:r w:rsidR="00317328">
              <w:rPr>
                <w:sz w:val="20"/>
              </w:rPr>
              <w:t>)</w:t>
            </w:r>
          </w:p>
          <w:p w14:paraId="6171C2C9" w14:textId="52E745E1" w:rsidR="005B43BF" w:rsidRPr="00C70E0C" w:rsidRDefault="005B43BF" w:rsidP="00DA188E">
            <w:pPr>
              <w:rPr>
                <w:sz w:val="20"/>
              </w:rPr>
            </w:pPr>
          </w:p>
        </w:tc>
      </w:tr>
      <w:tr w:rsidR="00DF75B2" w:rsidRPr="00C70E0C" w14:paraId="466ACFAE" w14:textId="3B78004D" w:rsidTr="00DF75B2">
        <w:tc>
          <w:tcPr>
            <w:tcW w:w="2463" w:type="dxa"/>
            <w:tcBorders>
              <w:top w:val="single" w:sz="4" w:space="0" w:color="auto"/>
              <w:bottom w:val="single" w:sz="12" w:space="0" w:color="auto"/>
            </w:tcBorders>
          </w:tcPr>
          <w:p w14:paraId="49FAF7F1" w14:textId="54ED98FC" w:rsidR="00DF75B2" w:rsidRPr="00C70E0C" w:rsidRDefault="00DF75B2" w:rsidP="00DA188E">
            <w:pPr>
              <w:rPr>
                <w:sz w:val="20"/>
              </w:rPr>
            </w:pPr>
            <w:r w:rsidRPr="00C70E0C">
              <w:rPr>
                <w:sz w:val="20"/>
              </w:rPr>
              <w:t>Meta-analysis of effect estimates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</w:tcBorders>
          </w:tcPr>
          <w:p w14:paraId="61507560" w14:textId="77777777" w:rsidR="00DF75B2" w:rsidRDefault="00847C4A" w:rsidP="00DA188E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470D8A">
              <w:rPr>
                <w:sz w:val="20"/>
              </w:rPr>
              <w:t xml:space="preserve"> (OR)</w:t>
            </w:r>
          </w:p>
          <w:p w14:paraId="664A2B44" w14:textId="02A382EA" w:rsidR="00847C4A" w:rsidRPr="00C70E0C" w:rsidRDefault="00977966" w:rsidP="00DA188E">
            <w:pPr>
              <w:rPr>
                <w:sz w:val="20"/>
              </w:rPr>
            </w:pPr>
            <w:r>
              <w:rPr>
                <w:sz w:val="20"/>
              </w:rPr>
              <w:t>5 (RR)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</w:tcPr>
          <w:p w14:paraId="05B05461" w14:textId="11E572F7" w:rsidR="00DF75B2" w:rsidRPr="00C70E0C" w:rsidRDefault="00847C4A" w:rsidP="00DA188E">
            <w:pPr>
              <w:rPr>
                <w:sz w:val="20"/>
              </w:rPr>
            </w:pPr>
            <w:r>
              <w:rPr>
                <w:sz w:val="20"/>
              </w:rPr>
              <w:t>Potentially 7 studies (see comment above)</w:t>
            </w:r>
          </w:p>
        </w:tc>
      </w:tr>
    </w:tbl>
    <w:p w14:paraId="28D29999" w14:textId="77777777" w:rsidR="00F1780B" w:rsidRDefault="00F1780B" w:rsidP="00DA188E"/>
    <w:p w14:paraId="430C2B4F" w14:textId="1B36A971" w:rsidR="00BF4B93" w:rsidRPr="00A320CB" w:rsidRDefault="00BF4B93" w:rsidP="00A320CB">
      <w:pPr>
        <w:pStyle w:val="ListParagraph"/>
        <w:numPr>
          <w:ilvl w:val="0"/>
          <w:numId w:val="26"/>
        </w:numPr>
        <w:rPr>
          <w:i/>
        </w:rPr>
      </w:pPr>
      <w:r w:rsidRPr="00A320CB">
        <w:rPr>
          <w:i/>
        </w:rPr>
        <w:t>What would you do to synthesize the results from these studies?</w:t>
      </w:r>
    </w:p>
    <w:p w14:paraId="27E37406" w14:textId="2554E8D8" w:rsidR="003E0E62" w:rsidRDefault="003E172E" w:rsidP="00DA188E">
      <w:r>
        <w:t>There is no one “correct” solution here, but possible options</w:t>
      </w:r>
      <w:r w:rsidR="00894A3F">
        <w:t xml:space="preserve">. </w:t>
      </w:r>
      <w:r w:rsidR="00572BA5">
        <w:t xml:space="preserve">Prior to listing </w:t>
      </w:r>
      <w:r w:rsidR="00D53321">
        <w:t xml:space="preserve">two </w:t>
      </w:r>
      <w:r w:rsidR="00C22DBA">
        <w:t xml:space="preserve">possible </w:t>
      </w:r>
      <w:r w:rsidR="000C7B4F">
        <w:t>options</w:t>
      </w:r>
      <w:r w:rsidR="00572BA5">
        <w:t xml:space="preserve">, </w:t>
      </w:r>
      <w:r w:rsidR="0035799A">
        <w:t xml:space="preserve">it’s important to say that </w:t>
      </w:r>
      <w:r w:rsidR="0096523A">
        <w:t>every</w:t>
      </w:r>
      <w:r w:rsidR="0035799A">
        <w:t xml:space="preserve"> attempt should be made to include as many studies as possible in a meta-analysis, </w:t>
      </w:r>
      <w:r w:rsidR="003E7575">
        <w:t xml:space="preserve">because this synthesis method provides the most information for </w:t>
      </w:r>
      <w:r w:rsidR="00E40636">
        <w:t xml:space="preserve">healthcare </w:t>
      </w:r>
      <w:r w:rsidR="003E7575">
        <w:t>decision</w:t>
      </w:r>
      <w:r w:rsidR="00E40636">
        <w:t>-</w:t>
      </w:r>
      <w:r w:rsidR="003E7575">
        <w:t xml:space="preserve">making. </w:t>
      </w:r>
      <w:r w:rsidR="00A32CCD">
        <w:t xml:space="preserve">Chapters 6 and </w:t>
      </w:r>
      <w:r w:rsidR="002D5356">
        <w:t>10</w:t>
      </w:r>
      <w:r w:rsidR="00A32CCD">
        <w:t xml:space="preserve"> of the Cochrane Handbook* provide guidance on how to convert between different metrics</w:t>
      </w:r>
      <w:r w:rsidR="0081349C">
        <w:t>, which may facilitate this.</w:t>
      </w:r>
    </w:p>
    <w:p w14:paraId="65387DDA" w14:textId="203E9320" w:rsidR="0080679F" w:rsidRDefault="00150288" w:rsidP="00DA188E">
      <w:r>
        <w:t>Two p</w:t>
      </w:r>
      <w:r w:rsidR="0080679F">
        <w:t>ossible options:</w:t>
      </w:r>
    </w:p>
    <w:p w14:paraId="7FAB8563" w14:textId="2DDDA35D" w:rsidR="0080679F" w:rsidRDefault="00DF49A9" w:rsidP="008E711C">
      <w:pPr>
        <w:pStyle w:val="ListParagraph"/>
        <w:numPr>
          <w:ilvl w:val="0"/>
          <w:numId w:val="25"/>
        </w:numPr>
      </w:pPr>
      <w:r>
        <w:t xml:space="preserve">Meta-analyse the effect estimates </w:t>
      </w:r>
      <w:r w:rsidR="0055153B">
        <w:t>(</w:t>
      </w:r>
      <w:r>
        <w:t>using the metric specified in the protocol</w:t>
      </w:r>
      <w:r w:rsidR="0055153B">
        <w:t>).</w:t>
      </w:r>
      <w:r>
        <w:t xml:space="preserve"> For the studies not included in the meta-analysis, </w:t>
      </w:r>
      <w:r w:rsidR="00AA0290">
        <w:t xml:space="preserve">present the </w:t>
      </w:r>
      <w:r w:rsidR="00FD6223">
        <w:t xml:space="preserve">available </w:t>
      </w:r>
      <w:r w:rsidR="00AA0290">
        <w:t>results from these using a structured summary.</w:t>
      </w:r>
    </w:p>
    <w:p w14:paraId="2E3D89D1" w14:textId="70202077" w:rsidR="00A3280D" w:rsidRDefault="00A3280D" w:rsidP="00DF49A9">
      <w:pPr>
        <w:pStyle w:val="ListParagraph"/>
        <w:numPr>
          <w:ilvl w:val="0"/>
          <w:numId w:val="25"/>
        </w:numPr>
      </w:pPr>
      <w:r>
        <w:t>Meta-analyse the effect estimates</w:t>
      </w:r>
      <w:r w:rsidR="002803AA">
        <w:t xml:space="preserve"> in combination with another synthesis method. </w:t>
      </w:r>
      <w:r w:rsidR="003C2DD4">
        <w:t xml:space="preserve">In this example, vote counting based on the direction of effect would include </w:t>
      </w:r>
      <w:r w:rsidR="00B03DBD">
        <w:t>11 of the 12 study results</w:t>
      </w:r>
      <w:r w:rsidR="00DC03A1">
        <w:t>, and so, may be selected because of this reason.</w:t>
      </w:r>
    </w:p>
    <w:p w14:paraId="1B8A780F" w14:textId="77777777" w:rsidR="001B1D83" w:rsidRDefault="001B1D83" w:rsidP="001B1D83"/>
    <w:p w14:paraId="1477F4B6" w14:textId="070DD10B" w:rsidR="003E172E" w:rsidRPr="00C77660" w:rsidRDefault="00094E26" w:rsidP="00C7766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i/>
        </w:rPr>
        <w:t>Cochrane Handbook for Systematic Reviews of Interventions</w:t>
      </w:r>
    </w:p>
    <w:p w14:paraId="371F70CB" w14:textId="77777777" w:rsidR="009C4958" w:rsidRDefault="009C4958" w:rsidP="00DA188E"/>
    <w:p w14:paraId="1BEFE6C8" w14:textId="39B385C4" w:rsidR="008B2462" w:rsidRPr="00DA188E" w:rsidRDefault="008B2462" w:rsidP="00DA188E">
      <w:pPr>
        <w:sectPr w:rsidR="008B2462" w:rsidRPr="00DA188E" w:rsidSect="00762C91"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24C25463" w14:textId="672545B4" w:rsidR="004D3721" w:rsidRPr="001C006A" w:rsidRDefault="004D3721" w:rsidP="00762C91">
      <w:pPr>
        <w:pStyle w:val="Caption"/>
        <w:ind w:hanging="567"/>
        <w:rPr>
          <w:rFonts w:asciiTheme="minorHAnsi" w:hAnsiTheme="minorHAnsi"/>
          <w:b w:val="0"/>
          <w:bCs w:val="0"/>
          <w:lang w:val="en-AU"/>
        </w:rPr>
      </w:pPr>
      <w:r>
        <w:rPr>
          <w:rFonts w:asciiTheme="minorHAnsi" w:hAnsiTheme="minorHAnsi"/>
        </w:rPr>
        <w:lastRenderedPageBreak/>
        <w:t xml:space="preserve">Table. </w:t>
      </w:r>
      <w:r>
        <w:rPr>
          <w:rFonts w:asciiTheme="minorHAnsi" w:hAnsiTheme="minorHAnsi"/>
          <w:b w:val="0"/>
          <w:bCs w:val="0"/>
        </w:rPr>
        <w:t>Extracted data for s</w:t>
      </w:r>
      <w:r w:rsidRPr="001C006A">
        <w:rPr>
          <w:rFonts w:asciiTheme="minorHAnsi" w:hAnsiTheme="minorHAnsi"/>
          <w:b w:val="0"/>
          <w:bCs w:val="0"/>
        </w:rPr>
        <w:t>atisfaction with care during labour and birth</w:t>
      </w:r>
    </w:p>
    <w:tbl>
      <w:tblPr>
        <w:tblStyle w:val="TableGrid"/>
        <w:tblW w:w="15168" w:type="dxa"/>
        <w:tblInd w:w="-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2127"/>
        <w:gridCol w:w="1275"/>
        <w:gridCol w:w="993"/>
        <w:gridCol w:w="992"/>
        <w:gridCol w:w="992"/>
        <w:gridCol w:w="992"/>
        <w:gridCol w:w="1134"/>
        <w:gridCol w:w="993"/>
      </w:tblGrid>
      <w:tr w:rsidR="004D3721" w:rsidRPr="00297F5C" w14:paraId="59506487" w14:textId="77777777" w:rsidTr="001C6B46">
        <w:trPr>
          <w:tblHeader/>
        </w:trPr>
        <w:tc>
          <w:tcPr>
            <w:tcW w:w="2835" w:type="dxa"/>
          </w:tcPr>
          <w:p w14:paraId="4E2C32D4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Outcome (scale details*)</w:t>
            </w:r>
          </w:p>
        </w:tc>
        <w:tc>
          <w:tcPr>
            <w:tcW w:w="1418" w:type="dxa"/>
          </w:tcPr>
          <w:p w14:paraId="10A6D931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 xml:space="preserve">Intervention </w:t>
            </w:r>
          </w:p>
        </w:tc>
        <w:tc>
          <w:tcPr>
            <w:tcW w:w="1417" w:type="dxa"/>
          </w:tcPr>
          <w:p w14:paraId="6BE6EF09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Control</w:t>
            </w:r>
          </w:p>
        </w:tc>
        <w:tc>
          <w:tcPr>
            <w:tcW w:w="2127" w:type="dxa"/>
          </w:tcPr>
          <w:p w14:paraId="156D1BFE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Effect estimate</w:t>
            </w:r>
          </w:p>
        </w:tc>
        <w:tc>
          <w:tcPr>
            <w:tcW w:w="1275" w:type="dxa"/>
          </w:tcPr>
          <w:p w14:paraId="15D78C29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95% CI</w:t>
            </w:r>
          </w:p>
        </w:tc>
        <w:tc>
          <w:tcPr>
            <w:tcW w:w="993" w:type="dxa"/>
          </w:tcPr>
          <w:p w14:paraId="0928ACCE" w14:textId="77581FB9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Stat</w:t>
            </w:r>
            <w:r w:rsidR="00606D21">
              <w:rPr>
                <w:sz w:val="20"/>
                <w:szCs w:val="20"/>
              </w:rPr>
              <w:t>.</w:t>
            </w:r>
            <w:r w:rsidR="00606D21" w:rsidRPr="00297F5C" w:rsidDel="00606D21">
              <w:rPr>
                <w:sz w:val="20"/>
                <w:szCs w:val="20"/>
              </w:rPr>
              <w:t xml:space="preserve"> </w:t>
            </w:r>
            <w:r w:rsidRPr="00297F5C">
              <w:rPr>
                <w:sz w:val="20"/>
                <w:szCs w:val="20"/>
              </w:rPr>
              <w:t>test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87A1F3E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  <w:highlight w:val="yellow"/>
              </w:rPr>
            </w:pPr>
            <w:r w:rsidRPr="00297F5C">
              <w:rPr>
                <w:sz w:val="20"/>
                <w:szCs w:val="20"/>
              </w:rPr>
              <w:t>P value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0D8783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Direction of effect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1454FA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Exact</w:t>
            </w:r>
          </w:p>
          <w:p w14:paraId="010CD0FE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P-value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BA5D0A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Effect metric(s)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902E62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Standard error</w:t>
            </w:r>
          </w:p>
        </w:tc>
      </w:tr>
      <w:tr w:rsidR="00606D21" w:rsidRPr="00297F5C" w14:paraId="6E5ECB2E" w14:textId="77777777" w:rsidTr="001C6B46">
        <w:tc>
          <w:tcPr>
            <w:tcW w:w="2835" w:type="dxa"/>
            <w:shd w:val="clear" w:color="auto" w:fill="F2F2F2" w:themeFill="background1" w:themeFillShade="F2"/>
          </w:tcPr>
          <w:p w14:paraId="7C2D83DA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Barry 2005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9284937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% (N)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8DA91C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% (N)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A9D60D3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2986DB2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CB526D9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CA01CDC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00F71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D5511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5400C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6E227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4D3721" w:rsidRPr="00297F5C" w14:paraId="3D0BEC4A" w14:textId="77777777" w:rsidTr="001C6B46">
        <w:tc>
          <w:tcPr>
            <w:tcW w:w="2835" w:type="dxa"/>
          </w:tcPr>
          <w:p w14:paraId="45A59BD2" w14:textId="77777777" w:rsidR="004D3721" w:rsidRPr="00297F5C" w:rsidRDefault="004D3721" w:rsidP="00D55770">
            <w:pPr>
              <w:spacing w:after="120"/>
              <w:ind w:firstLine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Experience of labour</w:t>
            </w:r>
          </w:p>
        </w:tc>
        <w:tc>
          <w:tcPr>
            <w:tcW w:w="1418" w:type="dxa"/>
          </w:tcPr>
          <w:p w14:paraId="7D57A7B8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37% (246)</w:t>
            </w:r>
          </w:p>
        </w:tc>
        <w:tc>
          <w:tcPr>
            <w:tcW w:w="1417" w:type="dxa"/>
          </w:tcPr>
          <w:p w14:paraId="26CA3548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32% (223)</w:t>
            </w:r>
          </w:p>
        </w:tc>
        <w:tc>
          <w:tcPr>
            <w:tcW w:w="2127" w:type="dxa"/>
          </w:tcPr>
          <w:p w14:paraId="366AD350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5% (RD)</w:t>
            </w:r>
          </w:p>
        </w:tc>
        <w:tc>
          <w:tcPr>
            <w:tcW w:w="1275" w:type="dxa"/>
          </w:tcPr>
          <w:p w14:paraId="3B397AD5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29FDE5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FDFCBB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p&gt;0.05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D550CC" w14:textId="060A1ABE" w:rsidR="004D3721" w:rsidRPr="00297F5C" w:rsidRDefault="008E14FE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898B28" w14:textId="3F298666" w:rsidR="004D3721" w:rsidRPr="00297F5C" w:rsidRDefault="008E14FE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AC70D9" w14:textId="0688802C" w:rsidR="004D3721" w:rsidRPr="00297F5C" w:rsidRDefault="008E14FE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RR, OR, RD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171FD36" w14:textId="30CFDB70" w:rsidR="004D3721" w:rsidRPr="00297F5C" w:rsidRDefault="008E14FE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06D21" w:rsidRPr="00297F5C" w14:paraId="3EA7A243" w14:textId="77777777" w:rsidTr="001C6B46">
        <w:tc>
          <w:tcPr>
            <w:tcW w:w="2835" w:type="dxa"/>
            <w:shd w:val="clear" w:color="auto" w:fill="F2F2F2" w:themeFill="background1" w:themeFillShade="F2"/>
          </w:tcPr>
          <w:p w14:paraId="0D74AD79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Biro 2000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02FC596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3BBE209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9DB453D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BFC2A6D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3F45557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7AB7DB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EC30D0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976C0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D7FC4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B37C6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4D3721" w:rsidRPr="00297F5C" w14:paraId="04085AF7" w14:textId="77777777" w:rsidTr="001C6B46">
        <w:tc>
          <w:tcPr>
            <w:tcW w:w="2835" w:type="dxa"/>
          </w:tcPr>
          <w:p w14:paraId="4008BD94" w14:textId="77777777" w:rsidR="004D3721" w:rsidRPr="00297F5C" w:rsidRDefault="004D3721" w:rsidP="00D55770">
            <w:pPr>
              <w:spacing w:after="120"/>
              <w:ind w:firstLine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Perception of care: labour / birth</w:t>
            </w:r>
          </w:p>
        </w:tc>
        <w:tc>
          <w:tcPr>
            <w:tcW w:w="1418" w:type="dxa"/>
          </w:tcPr>
          <w:p w14:paraId="2A5DBD6B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260/344</w:t>
            </w:r>
          </w:p>
        </w:tc>
        <w:tc>
          <w:tcPr>
            <w:tcW w:w="1417" w:type="dxa"/>
          </w:tcPr>
          <w:p w14:paraId="693885DD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192/287</w:t>
            </w:r>
          </w:p>
        </w:tc>
        <w:tc>
          <w:tcPr>
            <w:tcW w:w="2127" w:type="dxa"/>
          </w:tcPr>
          <w:p w14:paraId="387460E1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1.13 (RR)</w:t>
            </w:r>
          </w:p>
        </w:tc>
        <w:tc>
          <w:tcPr>
            <w:tcW w:w="1275" w:type="dxa"/>
          </w:tcPr>
          <w:p w14:paraId="63B5594C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1.02 to 1.25</w:t>
            </w:r>
          </w:p>
        </w:tc>
        <w:tc>
          <w:tcPr>
            <w:tcW w:w="993" w:type="dxa"/>
          </w:tcPr>
          <w:p w14:paraId="3F2FB657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z=2.36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72F981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DA91CB" w14:textId="20B86985" w:rsidR="004D3721" w:rsidRPr="00297F5C" w:rsidRDefault="000F35FF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1800FA" w14:textId="7EA50419" w:rsidR="004D3721" w:rsidRPr="00297F5C" w:rsidRDefault="000F35FF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EA1D56" w14:textId="7064F062" w:rsidR="004D3721" w:rsidRPr="00297F5C" w:rsidRDefault="000F35FF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RR, OR, RD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0742DA9" w14:textId="1B9B4006" w:rsidR="004D3721" w:rsidRPr="00297F5C" w:rsidRDefault="000F35FF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06D21" w:rsidRPr="00297F5C" w14:paraId="03A53C33" w14:textId="77777777" w:rsidTr="001C6B46">
        <w:tc>
          <w:tcPr>
            <w:tcW w:w="2835" w:type="dxa"/>
            <w:shd w:val="clear" w:color="auto" w:fill="F2F2F2" w:themeFill="background1" w:themeFillShade="F2"/>
          </w:tcPr>
          <w:p w14:paraId="4F967828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Crowe 2010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A8C699F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Mean (SD) 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7BCDBD1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Mean (SD) 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349BFB7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F4C7A57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3FE318C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9BFC5D0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4A370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EE8AA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08797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E90C8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4D3721" w:rsidRPr="00297F5C" w14:paraId="10DD2718" w14:textId="77777777" w:rsidTr="001C6B46">
        <w:tc>
          <w:tcPr>
            <w:tcW w:w="2835" w:type="dxa"/>
          </w:tcPr>
          <w:p w14:paraId="75032772" w14:textId="77777777" w:rsidR="004D3721" w:rsidRPr="00297F5C" w:rsidRDefault="004D3721" w:rsidP="00D55770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Expectation of labour/ birth (0 to 18 points)</w:t>
            </w:r>
          </w:p>
        </w:tc>
        <w:tc>
          <w:tcPr>
            <w:tcW w:w="1418" w:type="dxa"/>
          </w:tcPr>
          <w:p w14:paraId="150D4617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11.7 (2.9) 182</w:t>
            </w:r>
          </w:p>
        </w:tc>
        <w:tc>
          <w:tcPr>
            <w:tcW w:w="1417" w:type="dxa"/>
          </w:tcPr>
          <w:p w14:paraId="394695A1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10.9 (4.2) 186</w:t>
            </w:r>
          </w:p>
        </w:tc>
        <w:tc>
          <w:tcPr>
            <w:tcW w:w="2127" w:type="dxa"/>
          </w:tcPr>
          <w:p w14:paraId="63E720F2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4E7CD7D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C30BA1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A1E373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0.035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9F82F4" w14:textId="48CD2106" w:rsidR="004D3721" w:rsidRPr="00297F5C" w:rsidRDefault="00C67395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6F8BC1" w14:textId="6BA582AB" w:rsidR="004D3721" w:rsidRPr="00297F5C" w:rsidRDefault="00C67395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513F08" w14:textId="22DF5573" w:rsidR="004D3721" w:rsidRPr="00297F5C" w:rsidRDefault="00C67395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MD, SMD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EC0087" w14:textId="5358FA61" w:rsidR="004D3721" w:rsidRPr="00297F5C" w:rsidRDefault="00C67395" w:rsidP="009D62F4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06D21" w:rsidRPr="00297F5C" w14:paraId="5D3CF4C6" w14:textId="77777777" w:rsidTr="001C6B4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4938241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Flint 1989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9F8BE92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6B3C167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90F6882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F28FFC4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2E8F96A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EB5310D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277586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45932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E7987" w14:textId="77777777" w:rsidR="004D3721" w:rsidRPr="00297F5C" w:rsidRDefault="004D3721" w:rsidP="009D62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3909E2" w14:textId="77777777" w:rsidR="004D3721" w:rsidRPr="00297F5C" w:rsidRDefault="004D3721" w:rsidP="009D62F4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606D21" w:rsidRPr="00297F5C" w14:paraId="68E26453" w14:textId="77777777" w:rsidTr="001C6B4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6872953" w14:textId="77777777" w:rsidR="00E3617E" w:rsidRPr="00297F5C" w:rsidRDefault="00E3617E" w:rsidP="00E3617E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Care from staff during labour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48FD05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240/275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D1F4E35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208/256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508133C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1.07 (RR)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1D69F51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1AABAF1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DD2AB8E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0.059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C5807" w14:textId="6A3CDA42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9DEAE" w14:textId="14983B93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0A6C2" w14:textId="4A36A88E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RR, OR, RD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2961" w14:textId="2DED350B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06D21" w:rsidRPr="00297F5C" w14:paraId="049C965E" w14:textId="77777777" w:rsidTr="001C6B4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02FA82E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Frances 2000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F53D95B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EC6606F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B6E5D22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3F7E73F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86F4C80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D6CAEE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3CCAD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FD5E0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FCC1BA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0BDC1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606D21" w:rsidRPr="00297F5C" w14:paraId="69C464C7" w14:textId="77777777" w:rsidTr="001C6B4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641545E" w14:textId="77777777" w:rsidR="00E3617E" w:rsidRPr="00297F5C" w:rsidRDefault="00E3617E" w:rsidP="00E3617E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Communication: labour / birth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34E40D1" w14:textId="77777777" w:rsidR="00E3617E" w:rsidRPr="00297F5C" w:rsidRDefault="00E3617E" w:rsidP="00E3617E">
            <w:pPr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C193AEA" w14:textId="77777777" w:rsidR="00E3617E" w:rsidRPr="00297F5C" w:rsidRDefault="00E3617E" w:rsidP="00E3617E">
            <w:pPr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EF5E432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0.90 (OR)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A402D0E" w14:textId="0AC5F73E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B0D3239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44CA121" w14:textId="77777777" w:rsidR="00E3617E" w:rsidRPr="00297F5C" w:rsidRDefault="00E3617E" w:rsidP="00E3617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E4288" w14:textId="5CB54820" w:rsidR="004C22BC" w:rsidRPr="00297F5C" w:rsidRDefault="004C22BC" w:rsidP="004C22B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B498D" w14:textId="161B3BB1" w:rsidR="00E3617E" w:rsidRPr="00297F5C" w:rsidRDefault="009946C7" w:rsidP="00E361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18083" w14:textId="1CDEA113" w:rsidR="00E3617E" w:rsidRPr="00297F5C" w:rsidRDefault="004C22BC" w:rsidP="00E361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F6B5" w14:textId="67AAC2E3" w:rsidR="00E3617E" w:rsidRPr="00297F5C" w:rsidRDefault="00064975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06D21" w:rsidRPr="00297F5C" w14:paraId="4A38EC0C" w14:textId="77777777" w:rsidTr="001C6B46">
        <w:tc>
          <w:tcPr>
            <w:tcW w:w="2835" w:type="dxa"/>
            <w:shd w:val="clear" w:color="auto" w:fill="F2F2F2" w:themeFill="background1" w:themeFillShade="F2"/>
          </w:tcPr>
          <w:p w14:paraId="2E5B1D21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Harvey 1996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87957F9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Mean (SD) 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230D541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Mean (SD) 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6720ABD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6012AC41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7673146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CDA2757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41770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3ED91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DB143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62C28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E3617E" w:rsidRPr="00297F5C" w14:paraId="69423E83" w14:textId="77777777" w:rsidTr="001C6B46">
        <w:tc>
          <w:tcPr>
            <w:tcW w:w="2835" w:type="dxa"/>
          </w:tcPr>
          <w:p w14:paraId="04C46952" w14:textId="31BC2580" w:rsidR="00E3617E" w:rsidRPr="00297F5C" w:rsidRDefault="00E3617E" w:rsidP="00E3617E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Labour &amp; Delivery Satisfaction Index (37 to 222 points)</w:t>
            </w:r>
          </w:p>
        </w:tc>
        <w:tc>
          <w:tcPr>
            <w:tcW w:w="1418" w:type="dxa"/>
          </w:tcPr>
          <w:p w14:paraId="7E0923E9" w14:textId="503AEBC5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B39988" w14:textId="5FB224CE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815C1DB" w14:textId="03273B02" w:rsidR="00E3617E" w:rsidRPr="00297F5C" w:rsidRDefault="00D037C8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88025C">
              <w:rPr>
                <w:sz w:val="20"/>
                <w:szCs w:val="20"/>
              </w:rPr>
              <w:t>Larger mean in control group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275" w:type="dxa"/>
          </w:tcPr>
          <w:p w14:paraId="25BAEB64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EE52656" w14:textId="210B19F9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FC5DE7" w14:textId="1E0DE8AD" w:rsidR="00E3617E" w:rsidRPr="00297F5C" w:rsidRDefault="0010469C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significant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AB2448" w14:textId="2ED14B57" w:rsidR="00E3617E" w:rsidRPr="00297F5C" w:rsidRDefault="00C27319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9BD54A" w14:textId="03554A58" w:rsidR="00E3617E" w:rsidRPr="00297F5C" w:rsidRDefault="00C27319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5270E5" w14:textId="27E0D1AD" w:rsidR="00E3617E" w:rsidRPr="00297F5C" w:rsidRDefault="0084661E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9C1C228" w14:textId="1C7BFE07" w:rsidR="00E3617E" w:rsidRPr="00297F5C" w:rsidRDefault="00417F3F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06D21" w:rsidRPr="00297F5C" w14:paraId="43BB39E2" w14:textId="77777777" w:rsidTr="001C6B46">
        <w:tc>
          <w:tcPr>
            <w:tcW w:w="2835" w:type="dxa"/>
            <w:shd w:val="clear" w:color="auto" w:fill="F2F2F2" w:themeFill="background1" w:themeFillShade="F2"/>
          </w:tcPr>
          <w:p w14:paraId="2D651A75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Johns 2004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AB4BF71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2109B9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57ED679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DF6B8C0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D1A5A97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123F94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DD9D3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A2AF3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E8812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06D235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E3617E" w:rsidRPr="00297F5C" w14:paraId="0F1A3CB9" w14:textId="77777777" w:rsidTr="001C6B46">
        <w:tc>
          <w:tcPr>
            <w:tcW w:w="2835" w:type="dxa"/>
          </w:tcPr>
          <w:p w14:paraId="00A86C0C" w14:textId="77777777" w:rsidR="00E3617E" w:rsidRPr="00297F5C" w:rsidRDefault="00E3617E" w:rsidP="00E3617E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Satisfaction with intrapartum care</w:t>
            </w:r>
          </w:p>
        </w:tc>
        <w:tc>
          <w:tcPr>
            <w:tcW w:w="1418" w:type="dxa"/>
          </w:tcPr>
          <w:p w14:paraId="5845ACC6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605/1163</w:t>
            </w:r>
          </w:p>
        </w:tc>
        <w:tc>
          <w:tcPr>
            <w:tcW w:w="1417" w:type="dxa"/>
          </w:tcPr>
          <w:p w14:paraId="04020C6A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363/826</w:t>
            </w:r>
          </w:p>
        </w:tc>
        <w:tc>
          <w:tcPr>
            <w:tcW w:w="2127" w:type="dxa"/>
          </w:tcPr>
          <w:p w14:paraId="5DA2ED56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8.1% (RD)</w:t>
            </w:r>
          </w:p>
        </w:tc>
        <w:tc>
          <w:tcPr>
            <w:tcW w:w="1275" w:type="dxa"/>
          </w:tcPr>
          <w:p w14:paraId="4E77EA3D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3.6 to 12.5</w:t>
            </w:r>
          </w:p>
        </w:tc>
        <w:tc>
          <w:tcPr>
            <w:tcW w:w="993" w:type="dxa"/>
          </w:tcPr>
          <w:p w14:paraId="6961F283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A168F3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&lt;0.001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44188D" w14:textId="0793C557" w:rsidR="00E3617E" w:rsidRPr="00297F5C" w:rsidRDefault="00F212DC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6ED72E" w14:textId="644EF13F" w:rsidR="00E3617E" w:rsidRPr="00297F5C" w:rsidRDefault="00F212DC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41C026" w14:textId="2A41375D" w:rsidR="00E3617E" w:rsidRPr="00297F5C" w:rsidRDefault="00F212DC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RR, OR, RD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B7553BC" w14:textId="20E9705C" w:rsidR="00E3617E" w:rsidRPr="00297F5C" w:rsidRDefault="00F212DC" w:rsidP="00E3617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06D21" w:rsidRPr="00297F5C" w14:paraId="3AA15109" w14:textId="77777777" w:rsidTr="001C6B46">
        <w:tc>
          <w:tcPr>
            <w:tcW w:w="2835" w:type="dxa"/>
            <w:shd w:val="clear" w:color="auto" w:fill="F2F2F2" w:themeFill="background1" w:themeFillShade="F2"/>
          </w:tcPr>
          <w:p w14:paraId="7C984E8F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Mac Vicar 1993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A0ABD7B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9140981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0BD4A0A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8CE59F7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F5E4DFD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E2ED60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96F7E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6F2AA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83EF2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3A5ED" w14:textId="77777777" w:rsidR="00E3617E" w:rsidRPr="00297F5C" w:rsidRDefault="00E3617E" w:rsidP="00E3617E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E12FBE" w:rsidRPr="00297F5C" w14:paraId="5EF7E615" w14:textId="77777777" w:rsidTr="001C6B46">
        <w:tc>
          <w:tcPr>
            <w:tcW w:w="2835" w:type="dxa"/>
          </w:tcPr>
          <w:p w14:paraId="59AE9B3D" w14:textId="77777777" w:rsidR="00E12FBE" w:rsidRPr="00297F5C" w:rsidRDefault="00E12FBE" w:rsidP="00E12FBE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Birth satisfaction</w:t>
            </w:r>
          </w:p>
        </w:tc>
        <w:tc>
          <w:tcPr>
            <w:tcW w:w="1418" w:type="dxa"/>
          </w:tcPr>
          <w:p w14:paraId="1A864C41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849/1163</w:t>
            </w:r>
          </w:p>
        </w:tc>
        <w:tc>
          <w:tcPr>
            <w:tcW w:w="1417" w:type="dxa"/>
          </w:tcPr>
          <w:p w14:paraId="2D280BF7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496/826</w:t>
            </w:r>
          </w:p>
        </w:tc>
        <w:tc>
          <w:tcPr>
            <w:tcW w:w="2127" w:type="dxa"/>
          </w:tcPr>
          <w:p w14:paraId="745FDEF7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13.0% (RD)</w:t>
            </w:r>
          </w:p>
        </w:tc>
        <w:tc>
          <w:tcPr>
            <w:tcW w:w="1275" w:type="dxa"/>
          </w:tcPr>
          <w:p w14:paraId="1CF99A93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8.8 to 17.2</w:t>
            </w:r>
          </w:p>
        </w:tc>
        <w:tc>
          <w:tcPr>
            <w:tcW w:w="993" w:type="dxa"/>
          </w:tcPr>
          <w:p w14:paraId="2EABC229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z=6.04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4460AF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3DDF7B" w14:textId="0CDDD35B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B35D95" w14:textId="3501FFB5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19E62F" w14:textId="28BB9EB1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RR, OR, RD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8A076BD" w14:textId="40C3C145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06D21" w:rsidRPr="00297F5C" w14:paraId="0DF7F534" w14:textId="77777777" w:rsidTr="001C6B46">
        <w:tc>
          <w:tcPr>
            <w:tcW w:w="2835" w:type="dxa"/>
            <w:shd w:val="clear" w:color="auto" w:fill="F2F2F2" w:themeFill="background1" w:themeFillShade="F2"/>
          </w:tcPr>
          <w:p w14:paraId="6742A106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Parr 2002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2284484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DD92D8E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FB583DE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190BFFB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921BC0D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381D95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3B552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DFDC9D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F33FF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AA9FD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E12FBE" w:rsidRPr="00297F5C" w14:paraId="31F2C2EA" w14:textId="77777777" w:rsidTr="001C6B46">
        <w:tc>
          <w:tcPr>
            <w:tcW w:w="2835" w:type="dxa"/>
            <w:tcBorders>
              <w:bottom w:val="single" w:sz="4" w:space="0" w:color="auto"/>
            </w:tcBorders>
          </w:tcPr>
          <w:p w14:paraId="7C867865" w14:textId="77777777" w:rsidR="00E12FBE" w:rsidRPr="00297F5C" w:rsidRDefault="00E12FBE" w:rsidP="00E12FBE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Experience of childbirth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C5B6D9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047BEC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812E574" w14:textId="1D03759A" w:rsidR="00E12FBE" w:rsidRPr="00297F5C" w:rsidRDefault="00A43A3A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7E7DED">
              <w:rPr>
                <w:sz w:val="20"/>
                <w:szCs w:val="20"/>
              </w:rPr>
              <w:t>Intervention harmful</w:t>
            </w:r>
            <w:r w:rsidR="006E738B">
              <w:rPr>
                <w:sz w:val="20"/>
                <w:szCs w:val="20"/>
              </w:rPr>
              <w:t>”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F94903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172E8EF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05EE16F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32C" w14:textId="5B29A25B" w:rsidR="00E12FBE" w:rsidRPr="00297F5C" w:rsidRDefault="00174C8A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381" w14:textId="131B693A" w:rsidR="00E12FBE" w:rsidRPr="00297F5C" w:rsidRDefault="00174C8A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8AD" w14:textId="28C36771" w:rsidR="00E12FBE" w:rsidRPr="00297F5C" w:rsidRDefault="00C002BE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9C9" w14:textId="7CA2A146" w:rsidR="00E12FBE" w:rsidRPr="00297F5C" w:rsidRDefault="009756BA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06D21" w:rsidRPr="00297F5C" w14:paraId="476CD52A" w14:textId="77777777" w:rsidTr="001C6B4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92C5E41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Rowley 1995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628B5E2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2D689E0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B7429FF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27BEA63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6DBAE21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4B423D8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FF90C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22A8F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778AB0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05A82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606D21" w:rsidRPr="00297F5C" w14:paraId="57048982" w14:textId="77777777" w:rsidTr="001C6B4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53A7EFB" w14:textId="77777777" w:rsidR="00E12FBE" w:rsidRPr="00297F5C" w:rsidRDefault="00E12FBE" w:rsidP="00E12FBE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Encouraged to ask questions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0262B0B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4DFFE3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25E9ED4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1.02 (OR)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2FFEC21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0.66 to 1.58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F1281E9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z=0.09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40E8BE7" w14:textId="77777777" w:rsidR="00E12FBE" w:rsidRPr="00297F5C" w:rsidRDefault="00E12FBE" w:rsidP="00E12FBE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0.930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A08F6" w14:textId="680A4271" w:rsidR="00E12FBE" w:rsidRPr="00297F5C" w:rsidRDefault="00F12D50" w:rsidP="00E12FB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6C2B8" w14:textId="0C69A02D" w:rsidR="00E12FBE" w:rsidRPr="00297F5C" w:rsidRDefault="00F12D50" w:rsidP="00E12FB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908B3" w14:textId="64BBED4E" w:rsidR="00E12FBE" w:rsidRPr="00297F5C" w:rsidRDefault="00F12D50" w:rsidP="00E12FB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F9E9C" w14:textId="258BB7C7" w:rsidR="00E12FBE" w:rsidRPr="00297F5C" w:rsidRDefault="00F12D50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06D21" w:rsidRPr="00297F5C" w14:paraId="0F8012EA" w14:textId="77777777" w:rsidTr="001C6B46">
        <w:tc>
          <w:tcPr>
            <w:tcW w:w="2835" w:type="dxa"/>
            <w:shd w:val="clear" w:color="auto" w:fill="F2F2F2" w:themeFill="background1" w:themeFillShade="F2"/>
          </w:tcPr>
          <w:p w14:paraId="641C1AF6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Turnbull 1996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434E4C" w14:textId="74BD7CE2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21F87E9" w14:textId="246CF03A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EADC85E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BEC8601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BDDB59F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8D65C3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5AAE2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946B0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9BCAF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861E4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606D21" w:rsidRPr="00297F5C" w14:paraId="7E27AD1A" w14:textId="77777777" w:rsidTr="001C6B46">
        <w:tc>
          <w:tcPr>
            <w:tcW w:w="2835" w:type="dxa"/>
            <w:shd w:val="clear" w:color="auto" w:fill="FFFFFF" w:themeFill="background1"/>
          </w:tcPr>
          <w:p w14:paraId="3F625F7E" w14:textId="77777777" w:rsidR="00E12FBE" w:rsidRPr="00297F5C" w:rsidRDefault="00E12FBE" w:rsidP="00E12FBE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Intrapartum care rating (-2 to 2 points)</w:t>
            </w:r>
          </w:p>
        </w:tc>
        <w:tc>
          <w:tcPr>
            <w:tcW w:w="1418" w:type="dxa"/>
            <w:shd w:val="clear" w:color="auto" w:fill="FFFFFF" w:themeFill="background1"/>
          </w:tcPr>
          <w:p w14:paraId="3BF63F5D" w14:textId="12657796" w:rsidR="00E12FBE" w:rsidRPr="00297F5C" w:rsidRDefault="00D8402F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FFFFFF" w:themeFill="background1"/>
          </w:tcPr>
          <w:p w14:paraId="70E99D69" w14:textId="572655FC" w:rsidR="00E12FBE" w:rsidRPr="00297F5C" w:rsidRDefault="00D8402F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FFFFFF" w:themeFill="background1"/>
          </w:tcPr>
          <w:p w14:paraId="4D48C20D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B493EC4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F9E16F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4A3F75" w14:textId="6911D32C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p&gt;0.05</w:t>
            </w:r>
            <w:r w:rsidR="00D8402F">
              <w:rPr>
                <w:sz w:val="20"/>
                <w:szCs w:val="20"/>
              </w:rPr>
              <w:t xml:space="preserve"> (for MD)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14712" w14:textId="4B0041F1" w:rsidR="00E12FBE" w:rsidRPr="00297F5C" w:rsidRDefault="00D3484D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02FAB" w14:textId="2C964BD7" w:rsidR="00E12FBE" w:rsidRPr="00297F5C" w:rsidRDefault="00B76AFC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17A73" w14:textId="1695CFEB" w:rsidR="00E12FBE" w:rsidRPr="00297F5C" w:rsidRDefault="0088789F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38AFC" w14:textId="579C5B82" w:rsidR="00E12FBE" w:rsidRPr="00297F5C" w:rsidRDefault="008C25FD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06D21" w:rsidRPr="00297F5C" w14:paraId="78250DBD" w14:textId="77777777" w:rsidTr="001C6B46">
        <w:tc>
          <w:tcPr>
            <w:tcW w:w="2835" w:type="dxa"/>
            <w:shd w:val="clear" w:color="auto" w:fill="F2F2F2" w:themeFill="background1" w:themeFillShade="F2"/>
          </w:tcPr>
          <w:p w14:paraId="5328AA31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Zhang 2011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A15FB6E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85B9ECE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DE7F146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61FB2E5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91EB1F6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9E221B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F2354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4B05DD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CB98B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D6BD31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E12FBE" w:rsidRPr="00297F5C" w14:paraId="44BBFA5D" w14:textId="77777777" w:rsidTr="001C6B46">
        <w:tc>
          <w:tcPr>
            <w:tcW w:w="2835" w:type="dxa"/>
          </w:tcPr>
          <w:p w14:paraId="408CFF20" w14:textId="77777777" w:rsidR="00E12FBE" w:rsidRPr="00297F5C" w:rsidRDefault="00E12FBE" w:rsidP="00E12FBE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Perception of care: labour / birth</w:t>
            </w:r>
          </w:p>
        </w:tc>
        <w:tc>
          <w:tcPr>
            <w:tcW w:w="1418" w:type="dxa"/>
          </w:tcPr>
          <w:p w14:paraId="7C244504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355</w:t>
            </w:r>
          </w:p>
        </w:tc>
        <w:tc>
          <w:tcPr>
            <w:tcW w:w="1417" w:type="dxa"/>
          </w:tcPr>
          <w:p w14:paraId="167894DB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2AF34657" w14:textId="48FFB9BB" w:rsidR="00E12FBE" w:rsidRPr="00297F5C" w:rsidRDefault="00924FD0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“Improved satisfaction int</w:t>
            </w:r>
            <w:r w:rsidR="0072326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group</w:t>
            </w:r>
            <w:r w:rsidR="00C51773">
              <w:rPr>
                <w:sz w:val="20"/>
                <w:szCs w:val="20"/>
              </w:rPr>
              <w:t>”</w:t>
            </w:r>
          </w:p>
        </w:tc>
        <w:tc>
          <w:tcPr>
            <w:tcW w:w="1275" w:type="dxa"/>
          </w:tcPr>
          <w:p w14:paraId="51DE3499" w14:textId="15850D95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94A5E0" w14:textId="2C66CE05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AC6979" w14:textId="77777777" w:rsidR="00E12FBE" w:rsidRPr="00297F5C" w:rsidRDefault="00E12FBE" w:rsidP="00E12FBE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0.341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5744C4" w14:textId="14559EF9" w:rsidR="00E12FBE" w:rsidRPr="00297F5C" w:rsidRDefault="00556A36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F5C5B5" w14:textId="690C76EA" w:rsidR="00E12FBE" w:rsidRPr="00297F5C" w:rsidRDefault="00556A36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AE7490" w14:textId="64954000" w:rsidR="00E12FBE" w:rsidRPr="00297F5C" w:rsidRDefault="00E87526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FB67B8">
              <w:rPr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ABAA0E9" w14:textId="4CC52AEC" w:rsidR="00E12FBE" w:rsidRPr="00297F5C" w:rsidRDefault="00030AAE" w:rsidP="00E12FBE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7A8094F4" w14:textId="66DAEB2C" w:rsidR="004D3721" w:rsidRPr="001C006A" w:rsidRDefault="004D3721" w:rsidP="00693FFD">
      <w:pPr>
        <w:spacing w:after="0"/>
        <w:ind w:left="-567"/>
        <w:rPr>
          <w:sz w:val="20"/>
          <w:szCs w:val="20"/>
        </w:rPr>
      </w:pPr>
      <w:r w:rsidRPr="001C006A">
        <w:rPr>
          <w:sz w:val="20"/>
          <w:szCs w:val="20"/>
        </w:rPr>
        <w:t>* All scales operate in the same direction. Namely, higher scores</w:t>
      </w:r>
      <w:r w:rsidR="00AB574E">
        <w:rPr>
          <w:sz w:val="20"/>
          <w:szCs w:val="20"/>
        </w:rPr>
        <w:t>, or percentages,</w:t>
      </w:r>
      <w:r w:rsidRPr="001C006A">
        <w:rPr>
          <w:sz w:val="20"/>
          <w:szCs w:val="20"/>
        </w:rPr>
        <w:t xml:space="preserve"> indicate greater satisfaction. ** Data in this table are as reported in the study</w:t>
      </w:r>
    </w:p>
    <w:p w14:paraId="507F6F13" w14:textId="430C814B" w:rsidR="009B39AB" w:rsidRPr="0029267B" w:rsidRDefault="004D3721" w:rsidP="00620C83">
      <w:pPr>
        <w:spacing w:after="0"/>
        <w:ind w:left="-567"/>
      </w:pPr>
      <w:r w:rsidRPr="001C006A">
        <w:rPr>
          <w:sz w:val="20"/>
          <w:szCs w:val="20"/>
        </w:rPr>
        <w:t>OR = Odds ratio; RR = Risk ratio; RD = Risk difference; MD = Mean difference; CI = confidence interva</w:t>
      </w:r>
      <w:r>
        <w:rPr>
          <w:sz w:val="20"/>
          <w:szCs w:val="20"/>
        </w:rPr>
        <w:t>l</w:t>
      </w:r>
    </w:p>
    <w:sectPr w:rsidR="009B39AB" w:rsidRPr="0029267B" w:rsidSect="00E71941">
      <w:footerReference w:type="default" r:id="rId9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87376" w14:textId="77777777" w:rsidR="000E1A72" w:rsidRDefault="000E1A72" w:rsidP="00EC6D4B">
      <w:pPr>
        <w:spacing w:after="0" w:line="240" w:lineRule="auto"/>
      </w:pPr>
      <w:r>
        <w:separator/>
      </w:r>
    </w:p>
  </w:endnote>
  <w:endnote w:type="continuationSeparator" w:id="0">
    <w:p w14:paraId="33CFCEE7" w14:textId="77777777" w:rsidR="000E1A72" w:rsidRDefault="000E1A72" w:rsidP="00EC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FD52D" w14:textId="77777777" w:rsidR="00A3168A" w:rsidRDefault="00A3168A" w:rsidP="00A3168A">
    <w:pPr>
      <w:pStyle w:val="Footer"/>
      <w:rPr>
        <w:i/>
      </w:rPr>
    </w:pPr>
    <w:r>
      <w:rPr>
        <w:i/>
      </w:rPr>
      <w:t>Exercise prepared by:</w:t>
    </w:r>
  </w:p>
  <w:p w14:paraId="3971EB8D" w14:textId="77777777" w:rsidR="00A3168A" w:rsidRDefault="00A3168A" w:rsidP="00A3168A">
    <w:pPr>
      <w:pStyle w:val="Footer"/>
      <w:rPr>
        <w:i/>
      </w:rPr>
    </w:pPr>
    <w:r>
      <w:rPr>
        <w:i/>
      </w:rPr>
      <w:t>Joanne E. McKenzie and Sue E. Brennan</w:t>
    </w:r>
  </w:p>
  <w:p w14:paraId="1DD65F14" w14:textId="0A0A5B77" w:rsidR="00243C33" w:rsidRPr="00A3168A" w:rsidRDefault="00A3168A" w:rsidP="00A3168A">
    <w:pPr>
      <w:pStyle w:val="Footer"/>
    </w:pPr>
    <w:r>
      <w:rPr>
        <w:i/>
      </w:rPr>
      <w:t>School of Public Health and Preventive Medicine, Monash University,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2297" w14:textId="01E9C869" w:rsidR="00A3168A" w:rsidRPr="00A3168A" w:rsidRDefault="00A3168A" w:rsidP="00A31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A68D1" w14:textId="77777777" w:rsidR="000E1A72" w:rsidRDefault="000E1A72" w:rsidP="00EC6D4B">
      <w:pPr>
        <w:spacing w:after="0" w:line="240" w:lineRule="auto"/>
      </w:pPr>
      <w:r>
        <w:separator/>
      </w:r>
    </w:p>
  </w:footnote>
  <w:footnote w:type="continuationSeparator" w:id="0">
    <w:p w14:paraId="07DD2914" w14:textId="77777777" w:rsidR="000E1A72" w:rsidRDefault="000E1A72" w:rsidP="00EC6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E0E"/>
    <w:multiLevelType w:val="hybridMultilevel"/>
    <w:tmpl w:val="E93EA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AE3"/>
    <w:multiLevelType w:val="hybridMultilevel"/>
    <w:tmpl w:val="EC8692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F3A"/>
    <w:multiLevelType w:val="hybridMultilevel"/>
    <w:tmpl w:val="6088A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0940"/>
    <w:multiLevelType w:val="hybridMultilevel"/>
    <w:tmpl w:val="225C7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0A51"/>
    <w:multiLevelType w:val="hybridMultilevel"/>
    <w:tmpl w:val="08B6878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73BD8"/>
    <w:multiLevelType w:val="hybridMultilevel"/>
    <w:tmpl w:val="0414D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736D6"/>
    <w:multiLevelType w:val="hybridMultilevel"/>
    <w:tmpl w:val="D3503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508B6"/>
    <w:multiLevelType w:val="hybridMultilevel"/>
    <w:tmpl w:val="A6466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0E42"/>
    <w:multiLevelType w:val="hybridMultilevel"/>
    <w:tmpl w:val="57164EDC"/>
    <w:lvl w:ilvl="0" w:tplc="41FCAC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253E5"/>
    <w:multiLevelType w:val="hybridMultilevel"/>
    <w:tmpl w:val="9C4A3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1511B"/>
    <w:multiLevelType w:val="hybridMultilevel"/>
    <w:tmpl w:val="49B2B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109EB"/>
    <w:multiLevelType w:val="hybridMultilevel"/>
    <w:tmpl w:val="2E861D10"/>
    <w:lvl w:ilvl="0" w:tplc="41FCAC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123ED"/>
    <w:multiLevelType w:val="hybridMultilevel"/>
    <w:tmpl w:val="DC8EF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2198C"/>
    <w:multiLevelType w:val="hybridMultilevel"/>
    <w:tmpl w:val="56767EE0"/>
    <w:lvl w:ilvl="0" w:tplc="0A9C3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0037A"/>
    <w:multiLevelType w:val="hybridMultilevel"/>
    <w:tmpl w:val="21507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A6882"/>
    <w:multiLevelType w:val="hybridMultilevel"/>
    <w:tmpl w:val="1C9A9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208FF"/>
    <w:multiLevelType w:val="hybridMultilevel"/>
    <w:tmpl w:val="1BEC8F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20394A"/>
    <w:multiLevelType w:val="hybridMultilevel"/>
    <w:tmpl w:val="334AE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0D52"/>
    <w:multiLevelType w:val="hybridMultilevel"/>
    <w:tmpl w:val="4D94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06B2"/>
    <w:multiLevelType w:val="hybridMultilevel"/>
    <w:tmpl w:val="33F0C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11D43"/>
    <w:multiLevelType w:val="hybridMultilevel"/>
    <w:tmpl w:val="B8C4B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457B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6E1F24"/>
    <w:multiLevelType w:val="hybridMultilevel"/>
    <w:tmpl w:val="B1A6C3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905B28"/>
    <w:multiLevelType w:val="hybridMultilevel"/>
    <w:tmpl w:val="B82CF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02C12"/>
    <w:multiLevelType w:val="hybridMultilevel"/>
    <w:tmpl w:val="DC46F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83C55"/>
    <w:multiLevelType w:val="hybridMultilevel"/>
    <w:tmpl w:val="92AC5B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24"/>
  </w:num>
  <w:num w:numId="9">
    <w:abstractNumId w:val="15"/>
  </w:num>
  <w:num w:numId="10">
    <w:abstractNumId w:val="25"/>
  </w:num>
  <w:num w:numId="11">
    <w:abstractNumId w:val="14"/>
  </w:num>
  <w:num w:numId="12">
    <w:abstractNumId w:val="0"/>
  </w:num>
  <w:num w:numId="13">
    <w:abstractNumId w:val="19"/>
  </w:num>
  <w:num w:numId="14">
    <w:abstractNumId w:val="17"/>
  </w:num>
  <w:num w:numId="15">
    <w:abstractNumId w:val="18"/>
  </w:num>
  <w:num w:numId="16">
    <w:abstractNumId w:val="3"/>
  </w:num>
  <w:num w:numId="17">
    <w:abstractNumId w:val="9"/>
  </w:num>
  <w:num w:numId="18">
    <w:abstractNumId w:val="2"/>
  </w:num>
  <w:num w:numId="19">
    <w:abstractNumId w:val="20"/>
  </w:num>
  <w:num w:numId="20">
    <w:abstractNumId w:val="6"/>
  </w:num>
  <w:num w:numId="21">
    <w:abstractNumId w:val="12"/>
  </w:num>
  <w:num w:numId="22">
    <w:abstractNumId w:val="23"/>
  </w:num>
  <w:num w:numId="23">
    <w:abstractNumId w:val="22"/>
  </w:num>
  <w:num w:numId="24">
    <w:abstractNumId w:val="7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12"/>
    <w:rsid w:val="00000603"/>
    <w:rsid w:val="0000378C"/>
    <w:rsid w:val="00007917"/>
    <w:rsid w:val="00007C6D"/>
    <w:rsid w:val="0001012E"/>
    <w:rsid w:val="00017589"/>
    <w:rsid w:val="00022C48"/>
    <w:rsid w:val="0002560D"/>
    <w:rsid w:val="00030A67"/>
    <w:rsid w:val="00030AAE"/>
    <w:rsid w:val="000322DE"/>
    <w:rsid w:val="000330C3"/>
    <w:rsid w:val="00037CD3"/>
    <w:rsid w:val="00041613"/>
    <w:rsid w:val="000422F3"/>
    <w:rsid w:val="000434CF"/>
    <w:rsid w:val="00046591"/>
    <w:rsid w:val="0006376B"/>
    <w:rsid w:val="00064975"/>
    <w:rsid w:val="00066CCF"/>
    <w:rsid w:val="000671BC"/>
    <w:rsid w:val="00075798"/>
    <w:rsid w:val="00077D95"/>
    <w:rsid w:val="00080FB9"/>
    <w:rsid w:val="000841B1"/>
    <w:rsid w:val="0008545B"/>
    <w:rsid w:val="000909CD"/>
    <w:rsid w:val="0009224C"/>
    <w:rsid w:val="000929F1"/>
    <w:rsid w:val="00094B63"/>
    <w:rsid w:val="00094E26"/>
    <w:rsid w:val="000A3D83"/>
    <w:rsid w:val="000A6264"/>
    <w:rsid w:val="000A63C7"/>
    <w:rsid w:val="000A70F7"/>
    <w:rsid w:val="000A71A9"/>
    <w:rsid w:val="000B05B6"/>
    <w:rsid w:val="000B0D15"/>
    <w:rsid w:val="000B0F7B"/>
    <w:rsid w:val="000B16AA"/>
    <w:rsid w:val="000B25C5"/>
    <w:rsid w:val="000B3E60"/>
    <w:rsid w:val="000B54F0"/>
    <w:rsid w:val="000C38BA"/>
    <w:rsid w:val="000C3DF2"/>
    <w:rsid w:val="000C5BF0"/>
    <w:rsid w:val="000C612C"/>
    <w:rsid w:val="000C7B4F"/>
    <w:rsid w:val="000D3FFB"/>
    <w:rsid w:val="000D4195"/>
    <w:rsid w:val="000D5A5A"/>
    <w:rsid w:val="000E19F3"/>
    <w:rsid w:val="000E1A72"/>
    <w:rsid w:val="000E3BA5"/>
    <w:rsid w:val="000E40FE"/>
    <w:rsid w:val="000E46BA"/>
    <w:rsid w:val="000E4EE0"/>
    <w:rsid w:val="000E5EF4"/>
    <w:rsid w:val="000F0F0D"/>
    <w:rsid w:val="000F23B4"/>
    <w:rsid w:val="000F35FF"/>
    <w:rsid w:val="000F4956"/>
    <w:rsid w:val="000F4E1C"/>
    <w:rsid w:val="000F5141"/>
    <w:rsid w:val="000F533F"/>
    <w:rsid w:val="000F63E0"/>
    <w:rsid w:val="000F676D"/>
    <w:rsid w:val="0010275F"/>
    <w:rsid w:val="00102DB8"/>
    <w:rsid w:val="0010469C"/>
    <w:rsid w:val="0010763B"/>
    <w:rsid w:val="001113D2"/>
    <w:rsid w:val="0011225C"/>
    <w:rsid w:val="00112C80"/>
    <w:rsid w:val="00116CE5"/>
    <w:rsid w:val="0012305A"/>
    <w:rsid w:val="0012605C"/>
    <w:rsid w:val="001274EF"/>
    <w:rsid w:val="00127711"/>
    <w:rsid w:val="0013152F"/>
    <w:rsid w:val="00131BAE"/>
    <w:rsid w:val="00137ED9"/>
    <w:rsid w:val="00141A60"/>
    <w:rsid w:val="001441B2"/>
    <w:rsid w:val="00147087"/>
    <w:rsid w:val="00150288"/>
    <w:rsid w:val="00152321"/>
    <w:rsid w:val="00155A47"/>
    <w:rsid w:val="00156DB4"/>
    <w:rsid w:val="00157767"/>
    <w:rsid w:val="00163D8E"/>
    <w:rsid w:val="00163F07"/>
    <w:rsid w:val="00170200"/>
    <w:rsid w:val="001721AD"/>
    <w:rsid w:val="00173192"/>
    <w:rsid w:val="00174C8A"/>
    <w:rsid w:val="00180148"/>
    <w:rsid w:val="001861FB"/>
    <w:rsid w:val="0019193D"/>
    <w:rsid w:val="00191AC6"/>
    <w:rsid w:val="001971C8"/>
    <w:rsid w:val="001A3DA5"/>
    <w:rsid w:val="001B1D83"/>
    <w:rsid w:val="001B5C25"/>
    <w:rsid w:val="001B6587"/>
    <w:rsid w:val="001C0142"/>
    <w:rsid w:val="001C10AD"/>
    <w:rsid w:val="001C1B31"/>
    <w:rsid w:val="001C434B"/>
    <w:rsid w:val="001C53E2"/>
    <w:rsid w:val="001C6B46"/>
    <w:rsid w:val="001D3225"/>
    <w:rsid w:val="001D3A00"/>
    <w:rsid w:val="001D430B"/>
    <w:rsid w:val="001D4D70"/>
    <w:rsid w:val="001D7ABB"/>
    <w:rsid w:val="001E0BE9"/>
    <w:rsid w:val="001E12E8"/>
    <w:rsid w:val="001E5721"/>
    <w:rsid w:val="001F161E"/>
    <w:rsid w:val="001F2A1C"/>
    <w:rsid w:val="001F3442"/>
    <w:rsid w:val="001F63BA"/>
    <w:rsid w:val="001F7117"/>
    <w:rsid w:val="002012A2"/>
    <w:rsid w:val="00205C4C"/>
    <w:rsid w:val="00206269"/>
    <w:rsid w:val="00206A42"/>
    <w:rsid w:val="00211AD3"/>
    <w:rsid w:val="00213D89"/>
    <w:rsid w:val="00215078"/>
    <w:rsid w:val="002205E3"/>
    <w:rsid w:val="0022552A"/>
    <w:rsid w:val="002256DE"/>
    <w:rsid w:val="002261A1"/>
    <w:rsid w:val="002318F9"/>
    <w:rsid w:val="00233DB9"/>
    <w:rsid w:val="002352FA"/>
    <w:rsid w:val="0023643B"/>
    <w:rsid w:val="00240583"/>
    <w:rsid w:val="002411B1"/>
    <w:rsid w:val="00243C33"/>
    <w:rsid w:val="00246A00"/>
    <w:rsid w:val="00250F16"/>
    <w:rsid w:val="00262567"/>
    <w:rsid w:val="00263C69"/>
    <w:rsid w:val="0026536E"/>
    <w:rsid w:val="0027372D"/>
    <w:rsid w:val="00274996"/>
    <w:rsid w:val="002757A0"/>
    <w:rsid w:val="00277109"/>
    <w:rsid w:val="002803AA"/>
    <w:rsid w:val="00280A38"/>
    <w:rsid w:val="00280AB8"/>
    <w:rsid w:val="002816AA"/>
    <w:rsid w:val="00283432"/>
    <w:rsid w:val="002858AD"/>
    <w:rsid w:val="002862F9"/>
    <w:rsid w:val="00291310"/>
    <w:rsid w:val="0029267B"/>
    <w:rsid w:val="00294EB5"/>
    <w:rsid w:val="00295F3C"/>
    <w:rsid w:val="00297F5C"/>
    <w:rsid w:val="002A14F9"/>
    <w:rsid w:val="002B3785"/>
    <w:rsid w:val="002B4F25"/>
    <w:rsid w:val="002C2145"/>
    <w:rsid w:val="002C332B"/>
    <w:rsid w:val="002C3FDA"/>
    <w:rsid w:val="002C46AE"/>
    <w:rsid w:val="002C5F10"/>
    <w:rsid w:val="002C605B"/>
    <w:rsid w:val="002D0D5C"/>
    <w:rsid w:val="002D21CF"/>
    <w:rsid w:val="002D2EC0"/>
    <w:rsid w:val="002D4A1C"/>
    <w:rsid w:val="002D4A3B"/>
    <w:rsid w:val="002D4E2A"/>
    <w:rsid w:val="002D5356"/>
    <w:rsid w:val="002D7109"/>
    <w:rsid w:val="002E0D90"/>
    <w:rsid w:val="002E1D3F"/>
    <w:rsid w:val="002E4125"/>
    <w:rsid w:val="002E79E4"/>
    <w:rsid w:val="002F5114"/>
    <w:rsid w:val="002F6282"/>
    <w:rsid w:val="002F7A1B"/>
    <w:rsid w:val="00301B48"/>
    <w:rsid w:val="003038AD"/>
    <w:rsid w:val="00304884"/>
    <w:rsid w:val="00305420"/>
    <w:rsid w:val="00315064"/>
    <w:rsid w:val="003169CB"/>
    <w:rsid w:val="00316B77"/>
    <w:rsid w:val="00317166"/>
    <w:rsid w:val="00317328"/>
    <w:rsid w:val="00336759"/>
    <w:rsid w:val="003452D5"/>
    <w:rsid w:val="00347D65"/>
    <w:rsid w:val="003532B0"/>
    <w:rsid w:val="00355197"/>
    <w:rsid w:val="00355836"/>
    <w:rsid w:val="0035799A"/>
    <w:rsid w:val="00357E7F"/>
    <w:rsid w:val="0036017D"/>
    <w:rsid w:val="00371D17"/>
    <w:rsid w:val="0037461D"/>
    <w:rsid w:val="0037467D"/>
    <w:rsid w:val="00382A38"/>
    <w:rsid w:val="00383CF8"/>
    <w:rsid w:val="00387959"/>
    <w:rsid w:val="00391022"/>
    <w:rsid w:val="00392C01"/>
    <w:rsid w:val="00393BA8"/>
    <w:rsid w:val="00394A2F"/>
    <w:rsid w:val="003A3595"/>
    <w:rsid w:val="003A501E"/>
    <w:rsid w:val="003A7C9C"/>
    <w:rsid w:val="003B112B"/>
    <w:rsid w:val="003B249B"/>
    <w:rsid w:val="003B3942"/>
    <w:rsid w:val="003B5623"/>
    <w:rsid w:val="003C242A"/>
    <w:rsid w:val="003C2A9F"/>
    <w:rsid w:val="003C2DD4"/>
    <w:rsid w:val="003C470A"/>
    <w:rsid w:val="003C57F7"/>
    <w:rsid w:val="003C7B73"/>
    <w:rsid w:val="003D25FC"/>
    <w:rsid w:val="003D7621"/>
    <w:rsid w:val="003E0E62"/>
    <w:rsid w:val="003E172E"/>
    <w:rsid w:val="003E7575"/>
    <w:rsid w:val="003E7773"/>
    <w:rsid w:val="003F2D81"/>
    <w:rsid w:val="003F2D8A"/>
    <w:rsid w:val="003F35ED"/>
    <w:rsid w:val="003F3DAE"/>
    <w:rsid w:val="003F6A5C"/>
    <w:rsid w:val="003F7CDE"/>
    <w:rsid w:val="003F7ECA"/>
    <w:rsid w:val="00401D22"/>
    <w:rsid w:val="0040409D"/>
    <w:rsid w:val="00405D56"/>
    <w:rsid w:val="00406E2D"/>
    <w:rsid w:val="0041096B"/>
    <w:rsid w:val="00416319"/>
    <w:rsid w:val="00417F3F"/>
    <w:rsid w:val="00421A46"/>
    <w:rsid w:val="004304D6"/>
    <w:rsid w:val="004322AC"/>
    <w:rsid w:val="0043499A"/>
    <w:rsid w:val="00435103"/>
    <w:rsid w:val="004357DC"/>
    <w:rsid w:val="00436356"/>
    <w:rsid w:val="00440143"/>
    <w:rsid w:val="00440BE8"/>
    <w:rsid w:val="004434DB"/>
    <w:rsid w:val="004450C5"/>
    <w:rsid w:val="00445578"/>
    <w:rsid w:val="00454893"/>
    <w:rsid w:val="004549EE"/>
    <w:rsid w:val="00461323"/>
    <w:rsid w:val="00461938"/>
    <w:rsid w:val="004644A0"/>
    <w:rsid w:val="00464D28"/>
    <w:rsid w:val="00466A68"/>
    <w:rsid w:val="00466E04"/>
    <w:rsid w:val="00470D8A"/>
    <w:rsid w:val="00474408"/>
    <w:rsid w:val="00474532"/>
    <w:rsid w:val="0047636F"/>
    <w:rsid w:val="00481819"/>
    <w:rsid w:val="00481BF7"/>
    <w:rsid w:val="00486F32"/>
    <w:rsid w:val="00487DF1"/>
    <w:rsid w:val="00491E07"/>
    <w:rsid w:val="0049270D"/>
    <w:rsid w:val="004942A7"/>
    <w:rsid w:val="00494E02"/>
    <w:rsid w:val="004A09D9"/>
    <w:rsid w:val="004A12CB"/>
    <w:rsid w:val="004A2849"/>
    <w:rsid w:val="004A3439"/>
    <w:rsid w:val="004A437F"/>
    <w:rsid w:val="004A58B0"/>
    <w:rsid w:val="004B3189"/>
    <w:rsid w:val="004B4C7A"/>
    <w:rsid w:val="004B6ED4"/>
    <w:rsid w:val="004B7733"/>
    <w:rsid w:val="004C22BC"/>
    <w:rsid w:val="004C296A"/>
    <w:rsid w:val="004C2F55"/>
    <w:rsid w:val="004C3380"/>
    <w:rsid w:val="004C74ED"/>
    <w:rsid w:val="004D3056"/>
    <w:rsid w:val="004D3721"/>
    <w:rsid w:val="004D4BAF"/>
    <w:rsid w:val="004D6688"/>
    <w:rsid w:val="004D7107"/>
    <w:rsid w:val="004D7B91"/>
    <w:rsid w:val="004E3873"/>
    <w:rsid w:val="004E56B4"/>
    <w:rsid w:val="004E672F"/>
    <w:rsid w:val="004F148A"/>
    <w:rsid w:val="004F62DF"/>
    <w:rsid w:val="004F7085"/>
    <w:rsid w:val="00500A3B"/>
    <w:rsid w:val="005027CA"/>
    <w:rsid w:val="00503E0B"/>
    <w:rsid w:val="00507B62"/>
    <w:rsid w:val="00510026"/>
    <w:rsid w:val="00510667"/>
    <w:rsid w:val="00511BD7"/>
    <w:rsid w:val="00511E99"/>
    <w:rsid w:val="00512439"/>
    <w:rsid w:val="00517EB4"/>
    <w:rsid w:val="00522265"/>
    <w:rsid w:val="0052546D"/>
    <w:rsid w:val="00527098"/>
    <w:rsid w:val="00530E3E"/>
    <w:rsid w:val="00533335"/>
    <w:rsid w:val="00534EFB"/>
    <w:rsid w:val="00537315"/>
    <w:rsid w:val="00544135"/>
    <w:rsid w:val="005463B4"/>
    <w:rsid w:val="0054781B"/>
    <w:rsid w:val="005506F3"/>
    <w:rsid w:val="0055100C"/>
    <w:rsid w:val="0055153B"/>
    <w:rsid w:val="00552CA9"/>
    <w:rsid w:val="00553726"/>
    <w:rsid w:val="005549E2"/>
    <w:rsid w:val="00555ED9"/>
    <w:rsid w:val="00556A36"/>
    <w:rsid w:val="00564B76"/>
    <w:rsid w:val="005679DD"/>
    <w:rsid w:val="00572BA5"/>
    <w:rsid w:val="005851FD"/>
    <w:rsid w:val="00587854"/>
    <w:rsid w:val="00587BA6"/>
    <w:rsid w:val="00592476"/>
    <w:rsid w:val="00594BE5"/>
    <w:rsid w:val="00596D7E"/>
    <w:rsid w:val="005971CB"/>
    <w:rsid w:val="005A344B"/>
    <w:rsid w:val="005B06EA"/>
    <w:rsid w:val="005B3858"/>
    <w:rsid w:val="005B43BF"/>
    <w:rsid w:val="005B4DF8"/>
    <w:rsid w:val="005C2563"/>
    <w:rsid w:val="005C43D9"/>
    <w:rsid w:val="005C5936"/>
    <w:rsid w:val="005D24AF"/>
    <w:rsid w:val="005D3F26"/>
    <w:rsid w:val="005E5342"/>
    <w:rsid w:val="005E6F9C"/>
    <w:rsid w:val="005E77B9"/>
    <w:rsid w:val="005F0024"/>
    <w:rsid w:val="005F168F"/>
    <w:rsid w:val="005F38F4"/>
    <w:rsid w:val="005F66C9"/>
    <w:rsid w:val="005F6A17"/>
    <w:rsid w:val="006019BF"/>
    <w:rsid w:val="0060280F"/>
    <w:rsid w:val="0060305A"/>
    <w:rsid w:val="00603736"/>
    <w:rsid w:val="00606D21"/>
    <w:rsid w:val="00613A9A"/>
    <w:rsid w:val="006153AB"/>
    <w:rsid w:val="0061738C"/>
    <w:rsid w:val="00620C83"/>
    <w:rsid w:val="00622353"/>
    <w:rsid w:val="006270B9"/>
    <w:rsid w:val="00627C65"/>
    <w:rsid w:val="006335E3"/>
    <w:rsid w:val="006358C6"/>
    <w:rsid w:val="00636F3B"/>
    <w:rsid w:val="00637B1C"/>
    <w:rsid w:val="00640CDD"/>
    <w:rsid w:val="0064368C"/>
    <w:rsid w:val="00643E18"/>
    <w:rsid w:val="00644490"/>
    <w:rsid w:val="006472F6"/>
    <w:rsid w:val="00652AAB"/>
    <w:rsid w:val="0066660B"/>
    <w:rsid w:val="00670CCE"/>
    <w:rsid w:val="00671143"/>
    <w:rsid w:val="00673F46"/>
    <w:rsid w:val="00683214"/>
    <w:rsid w:val="00685B90"/>
    <w:rsid w:val="00693D5E"/>
    <w:rsid w:val="00693FFD"/>
    <w:rsid w:val="006A1668"/>
    <w:rsid w:val="006A1EE5"/>
    <w:rsid w:val="006A289E"/>
    <w:rsid w:val="006A575C"/>
    <w:rsid w:val="006A6B38"/>
    <w:rsid w:val="006A7E7C"/>
    <w:rsid w:val="006B224D"/>
    <w:rsid w:val="006B2CF6"/>
    <w:rsid w:val="006B33DE"/>
    <w:rsid w:val="006B6C5D"/>
    <w:rsid w:val="006B7DB2"/>
    <w:rsid w:val="006C4EB6"/>
    <w:rsid w:val="006C5029"/>
    <w:rsid w:val="006C560B"/>
    <w:rsid w:val="006C7270"/>
    <w:rsid w:val="006C7397"/>
    <w:rsid w:val="006D22EE"/>
    <w:rsid w:val="006E25F2"/>
    <w:rsid w:val="006E738B"/>
    <w:rsid w:val="006E7C5C"/>
    <w:rsid w:val="006F10E0"/>
    <w:rsid w:val="006F2D91"/>
    <w:rsid w:val="00701E48"/>
    <w:rsid w:val="00702C79"/>
    <w:rsid w:val="00703E2F"/>
    <w:rsid w:val="00712011"/>
    <w:rsid w:val="0071279C"/>
    <w:rsid w:val="00716EC5"/>
    <w:rsid w:val="00721445"/>
    <w:rsid w:val="00723265"/>
    <w:rsid w:val="00725130"/>
    <w:rsid w:val="007253FB"/>
    <w:rsid w:val="0073138E"/>
    <w:rsid w:val="00733E82"/>
    <w:rsid w:val="00734EBA"/>
    <w:rsid w:val="007351C0"/>
    <w:rsid w:val="007473FC"/>
    <w:rsid w:val="0075017B"/>
    <w:rsid w:val="00750CB1"/>
    <w:rsid w:val="00753901"/>
    <w:rsid w:val="007554C8"/>
    <w:rsid w:val="00757264"/>
    <w:rsid w:val="0075796D"/>
    <w:rsid w:val="0076221E"/>
    <w:rsid w:val="00762485"/>
    <w:rsid w:val="00762C91"/>
    <w:rsid w:val="00764FF9"/>
    <w:rsid w:val="00766D15"/>
    <w:rsid w:val="0077139B"/>
    <w:rsid w:val="00773475"/>
    <w:rsid w:val="00782726"/>
    <w:rsid w:val="00783555"/>
    <w:rsid w:val="00792C53"/>
    <w:rsid w:val="00793437"/>
    <w:rsid w:val="00795E73"/>
    <w:rsid w:val="00796E08"/>
    <w:rsid w:val="00797CBA"/>
    <w:rsid w:val="00797DEE"/>
    <w:rsid w:val="007A2018"/>
    <w:rsid w:val="007A27E9"/>
    <w:rsid w:val="007A32B9"/>
    <w:rsid w:val="007A570E"/>
    <w:rsid w:val="007A642B"/>
    <w:rsid w:val="007A7E8E"/>
    <w:rsid w:val="007B00A3"/>
    <w:rsid w:val="007B0226"/>
    <w:rsid w:val="007B0908"/>
    <w:rsid w:val="007B1C87"/>
    <w:rsid w:val="007B2984"/>
    <w:rsid w:val="007B454D"/>
    <w:rsid w:val="007B56C3"/>
    <w:rsid w:val="007B604A"/>
    <w:rsid w:val="007B7F3E"/>
    <w:rsid w:val="007C1C91"/>
    <w:rsid w:val="007C2CDD"/>
    <w:rsid w:val="007C55E1"/>
    <w:rsid w:val="007C6217"/>
    <w:rsid w:val="007C6582"/>
    <w:rsid w:val="007D002D"/>
    <w:rsid w:val="007E075B"/>
    <w:rsid w:val="007E13DA"/>
    <w:rsid w:val="007E23D9"/>
    <w:rsid w:val="007E56E8"/>
    <w:rsid w:val="007E693A"/>
    <w:rsid w:val="007E7DED"/>
    <w:rsid w:val="007F04EB"/>
    <w:rsid w:val="007F1C71"/>
    <w:rsid w:val="007F2775"/>
    <w:rsid w:val="007F52A1"/>
    <w:rsid w:val="008049D3"/>
    <w:rsid w:val="0080525E"/>
    <w:rsid w:val="008063B5"/>
    <w:rsid w:val="0080679F"/>
    <w:rsid w:val="00810A13"/>
    <w:rsid w:val="00811953"/>
    <w:rsid w:val="00812839"/>
    <w:rsid w:val="0081349C"/>
    <w:rsid w:val="00822884"/>
    <w:rsid w:val="008239A4"/>
    <w:rsid w:val="0082708E"/>
    <w:rsid w:val="00832303"/>
    <w:rsid w:val="00832A5C"/>
    <w:rsid w:val="0083466B"/>
    <w:rsid w:val="00836970"/>
    <w:rsid w:val="00837F57"/>
    <w:rsid w:val="0084402A"/>
    <w:rsid w:val="0084661E"/>
    <w:rsid w:val="00847262"/>
    <w:rsid w:val="00847C4A"/>
    <w:rsid w:val="008516B9"/>
    <w:rsid w:val="00851818"/>
    <w:rsid w:val="00862570"/>
    <w:rsid w:val="00865805"/>
    <w:rsid w:val="00873E1A"/>
    <w:rsid w:val="00875B48"/>
    <w:rsid w:val="0088025C"/>
    <w:rsid w:val="00885CC1"/>
    <w:rsid w:val="008862AE"/>
    <w:rsid w:val="0088743E"/>
    <w:rsid w:val="0088789F"/>
    <w:rsid w:val="00890194"/>
    <w:rsid w:val="008919EA"/>
    <w:rsid w:val="00893F6D"/>
    <w:rsid w:val="00894A3F"/>
    <w:rsid w:val="008A3CFA"/>
    <w:rsid w:val="008A4AD1"/>
    <w:rsid w:val="008B00D9"/>
    <w:rsid w:val="008B2462"/>
    <w:rsid w:val="008B65B5"/>
    <w:rsid w:val="008C0924"/>
    <w:rsid w:val="008C0BD0"/>
    <w:rsid w:val="008C0E81"/>
    <w:rsid w:val="008C25FD"/>
    <w:rsid w:val="008C3416"/>
    <w:rsid w:val="008C4CFD"/>
    <w:rsid w:val="008C5210"/>
    <w:rsid w:val="008D0AD9"/>
    <w:rsid w:val="008D1C27"/>
    <w:rsid w:val="008D3C38"/>
    <w:rsid w:val="008D55C6"/>
    <w:rsid w:val="008E14FE"/>
    <w:rsid w:val="008E3731"/>
    <w:rsid w:val="008E427A"/>
    <w:rsid w:val="008E65F9"/>
    <w:rsid w:val="008E7C4A"/>
    <w:rsid w:val="008E7D40"/>
    <w:rsid w:val="008F1B30"/>
    <w:rsid w:val="008F3D38"/>
    <w:rsid w:val="008F507D"/>
    <w:rsid w:val="008F5D42"/>
    <w:rsid w:val="00901B0B"/>
    <w:rsid w:val="00906488"/>
    <w:rsid w:val="009108E2"/>
    <w:rsid w:val="00913497"/>
    <w:rsid w:val="00920224"/>
    <w:rsid w:val="00921318"/>
    <w:rsid w:val="00923CBD"/>
    <w:rsid w:val="00923F55"/>
    <w:rsid w:val="00924FD0"/>
    <w:rsid w:val="009252E1"/>
    <w:rsid w:val="00930798"/>
    <w:rsid w:val="009425A2"/>
    <w:rsid w:val="00950FD3"/>
    <w:rsid w:val="009526AC"/>
    <w:rsid w:val="0095634A"/>
    <w:rsid w:val="0095717E"/>
    <w:rsid w:val="0096523A"/>
    <w:rsid w:val="00965528"/>
    <w:rsid w:val="0096648D"/>
    <w:rsid w:val="00971DFE"/>
    <w:rsid w:val="00972E4A"/>
    <w:rsid w:val="00973DFF"/>
    <w:rsid w:val="009756A7"/>
    <w:rsid w:val="009756BA"/>
    <w:rsid w:val="00976B15"/>
    <w:rsid w:val="00977966"/>
    <w:rsid w:val="0098174A"/>
    <w:rsid w:val="00981B38"/>
    <w:rsid w:val="00986270"/>
    <w:rsid w:val="0099053B"/>
    <w:rsid w:val="0099122F"/>
    <w:rsid w:val="009926E4"/>
    <w:rsid w:val="00992FD9"/>
    <w:rsid w:val="00994132"/>
    <w:rsid w:val="009946C7"/>
    <w:rsid w:val="009A0698"/>
    <w:rsid w:val="009A549F"/>
    <w:rsid w:val="009B019B"/>
    <w:rsid w:val="009B1C4A"/>
    <w:rsid w:val="009B39AB"/>
    <w:rsid w:val="009B5CD9"/>
    <w:rsid w:val="009C16EC"/>
    <w:rsid w:val="009C4958"/>
    <w:rsid w:val="009D3378"/>
    <w:rsid w:val="009D4FD6"/>
    <w:rsid w:val="009D54E6"/>
    <w:rsid w:val="009D56AF"/>
    <w:rsid w:val="009D6463"/>
    <w:rsid w:val="009D7D19"/>
    <w:rsid w:val="009E0608"/>
    <w:rsid w:val="009E0D24"/>
    <w:rsid w:val="009E58BE"/>
    <w:rsid w:val="009F0005"/>
    <w:rsid w:val="009F4294"/>
    <w:rsid w:val="00A00489"/>
    <w:rsid w:val="00A00A51"/>
    <w:rsid w:val="00A00F89"/>
    <w:rsid w:val="00A0548E"/>
    <w:rsid w:val="00A05D79"/>
    <w:rsid w:val="00A06BDA"/>
    <w:rsid w:val="00A073DD"/>
    <w:rsid w:val="00A15E07"/>
    <w:rsid w:val="00A22057"/>
    <w:rsid w:val="00A22806"/>
    <w:rsid w:val="00A24437"/>
    <w:rsid w:val="00A263CA"/>
    <w:rsid w:val="00A272CD"/>
    <w:rsid w:val="00A3168A"/>
    <w:rsid w:val="00A320CB"/>
    <w:rsid w:val="00A3280D"/>
    <w:rsid w:val="00A32CCD"/>
    <w:rsid w:val="00A32E9D"/>
    <w:rsid w:val="00A3633B"/>
    <w:rsid w:val="00A371AC"/>
    <w:rsid w:val="00A40E03"/>
    <w:rsid w:val="00A41B90"/>
    <w:rsid w:val="00A43A3A"/>
    <w:rsid w:val="00A4456E"/>
    <w:rsid w:val="00A60478"/>
    <w:rsid w:val="00A652DA"/>
    <w:rsid w:val="00A71B59"/>
    <w:rsid w:val="00A8172B"/>
    <w:rsid w:val="00A81BFE"/>
    <w:rsid w:val="00A85386"/>
    <w:rsid w:val="00A85E2A"/>
    <w:rsid w:val="00A87CD0"/>
    <w:rsid w:val="00A96565"/>
    <w:rsid w:val="00AA0290"/>
    <w:rsid w:val="00AA5532"/>
    <w:rsid w:val="00AA6016"/>
    <w:rsid w:val="00AB0196"/>
    <w:rsid w:val="00AB3C5D"/>
    <w:rsid w:val="00AB3F54"/>
    <w:rsid w:val="00AB4AF4"/>
    <w:rsid w:val="00AB4DAF"/>
    <w:rsid w:val="00AB574E"/>
    <w:rsid w:val="00AC37CE"/>
    <w:rsid w:val="00AD442F"/>
    <w:rsid w:val="00AD6CD6"/>
    <w:rsid w:val="00AE28CA"/>
    <w:rsid w:val="00AE468C"/>
    <w:rsid w:val="00AF093F"/>
    <w:rsid w:val="00AF12F6"/>
    <w:rsid w:val="00AF67BE"/>
    <w:rsid w:val="00AF7181"/>
    <w:rsid w:val="00AF72DA"/>
    <w:rsid w:val="00B00811"/>
    <w:rsid w:val="00B02B2A"/>
    <w:rsid w:val="00B03DBD"/>
    <w:rsid w:val="00B03FF3"/>
    <w:rsid w:val="00B047EA"/>
    <w:rsid w:val="00B127AC"/>
    <w:rsid w:val="00B151A4"/>
    <w:rsid w:val="00B158AF"/>
    <w:rsid w:val="00B160C8"/>
    <w:rsid w:val="00B167DC"/>
    <w:rsid w:val="00B23616"/>
    <w:rsid w:val="00B243F1"/>
    <w:rsid w:val="00B24AB0"/>
    <w:rsid w:val="00B26C23"/>
    <w:rsid w:val="00B30A8F"/>
    <w:rsid w:val="00B32283"/>
    <w:rsid w:val="00B379FB"/>
    <w:rsid w:val="00B4690F"/>
    <w:rsid w:val="00B46C92"/>
    <w:rsid w:val="00B47833"/>
    <w:rsid w:val="00B514B1"/>
    <w:rsid w:val="00B557F7"/>
    <w:rsid w:val="00B57EE5"/>
    <w:rsid w:val="00B61498"/>
    <w:rsid w:val="00B64053"/>
    <w:rsid w:val="00B65F5F"/>
    <w:rsid w:val="00B66195"/>
    <w:rsid w:val="00B66A44"/>
    <w:rsid w:val="00B67F68"/>
    <w:rsid w:val="00B76AFC"/>
    <w:rsid w:val="00B80206"/>
    <w:rsid w:val="00B80349"/>
    <w:rsid w:val="00B81690"/>
    <w:rsid w:val="00B830BB"/>
    <w:rsid w:val="00B84E4F"/>
    <w:rsid w:val="00B85791"/>
    <w:rsid w:val="00B86AFD"/>
    <w:rsid w:val="00B8790E"/>
    <w:rsid w:val="00B91A5A"/>
    <w:rsid w:val="00B9576C"/>
    <w:rsid w:val="00B978B9"/>
    <w:rsid w:val="00B97FDD"/>
    <w:rsid w:val="00BA0511"/>
    <w:rsid w:val="00BA1B23"/>
    <w:rsid w:val="00BA51EE"/>
    <w:rsid w:val="00BA606E"/>
    <w:rsid w:val="00BA7A6A"/>
    <w:rsid w:val="00BA7AA5"/>
    <w:rsid w:val="00BB280E"/>
    <w:rsid w:val="00BB4BE4"/>
    <w:rsid w:val="00BB5436"/>
    <w:rsid w:val="00BC0D8E"/>
    <w:rsid w:val="00BC6F7B"/>
    <w:rsid w:val="00BD3E8B"/>
    <w:rsid w:val="00BD76A9"/>
    <w:rsid w:val="00BE0A6B"/>
    <w:rsid w:val="00BE0E22"/>
    <w:rsid w:val="00BE560E"/>
    <w:rsid w:val="00BE618A"/>
    <w:rsid w:val="00BE6332"/>
    <w:rsid w:val="00BF04C2"/>
    <w:rsid w:val="00BF4247"/>
    <w:rsid w:val="00BF4B93"/>
    <w:rsid w:val="00BF684D"/>
    <w:rsid w:val="00BF7AEC"/>
    <w:rsid w:val="00C002BE"/>
    <w:rsid w:val="00C019B2"/>
    <w:rsid w:val="00C0207D"/>
    <w:rsid w:val="00C0285B"/>
    <w:rsid w:val="00C028FF"/>
    <w:rsid w:val="00C05756"/>
    <w:rsid w:val="00C05ADD"/>
    <w:rsid w:val="00C077E6"/>
    <w:rsid w:val="00C10683"/>
    <w:rsid w:val="00C12996"/>
    <w:rsid w:val="00C15026"/>
    <w:rsid w:val="00C1516B"/>
    <w:rsid w:val="00C1696C"/>
    <w:rsid w:val="00C22DBA"/>
    <w:rsid w:val="00C27319"/>
    <w:rsid w:val="00C3036B"/>
    <w:rsid w:val="00C344D1"/>
    <w:rsid w:val="00C41F69"/>
    <w:rsid w:val="00C47B3A"/>
    <w:rsid w:val="00C50768"/>
    <w:rsid w:val="00C51773"/>
    <w:rsid w:val="00C533CC"/>
    <w:rsid w:val="00C57764"/>
    <w:rsid w:val="00C60207"/>
    <w:rsid w:val="00C60395"/>
    <w:rsid w:val="00C608C9"/>
    <w:rsid w:val="00C61BFD"/>
    <w:rsid w:val="00C67395"/>
    <w:rsid w:val="00C70B71"/>
    <w:rsid w:val="00C70E0C"/>
    <w:rsid w:val="00C71D88"/>
    <w:rsid w:val="00C7756B"/>
    <w:rsid w:val="00C77660"/>
    <w:rsid w:val="00C80361"/>
    <w:rsid w:val="00C80BB6"/>
    <w:rsid w:val="00C81130"/>
    <w:rsid w:val="00C82E7A"/>
    <w:rsid w:val="00C843D5"/>
    <w:rsid w:val="00C85545"/>
    <w:rsid w:val="00C939EA"/>
    <w:rsid w:val="00C953E2"/>
    <w:rsid w:val="00C9725A"/>
    <w:rsid w:val="00CA4AF7"/>
    <w:rsid w:val="00CA5C12"/>
    <w:rsid w:val="00CB2B62"/>
    <w:rsid w:val="00CB55C5"/>
    <w:rsid w:val="00CB77AA"/>
    <w:rsid w:val="00CC2A94"/>
    <w:rsid w:val="00CC2D4A"/>
    <w:rsid w:val="00CC41A9"/>
    <w:rsid w:val="00CC452C"/>
    <w:rsid w:val="00CC5CC1"/>
    <w:rsid w:val="00CC5D70"/>
    <w:rsid w:val="00CC77C8"/>
    <w:rsid w:val="00CD238E"/>
    <w:rsid w:val="00CD4E4D"/>
    <w:rsid w:val="00CD564E"/>
    <w:rsid w:val="00CD5A94"/>
    <w:rsid w:val="00CD748A"/>
    <w:rsid w:val="00CE3B73"/>
    <w:rsid w:val="00CE4371"/>
    <w:rsid w:val="00CE51D6"/>
    <w:rsid w:val="00CF05D7"/>
    <w:rsid w:val="00CF25CD"/>
    <w:rsid w:val="00CF632C"/>
    <w:rsid w:val="00D0119E"/>
    <w:rsid w:val="00D02B0A"/>
    <w:rsid w:val="00D02DEA"/>
    <w:rsid w:val="00D033E2"/>
    <w:rsid w:val="00D037C8"/>
    <w:rsid w:val="00D05739"/>
    <w:rsid w:val="00D0621E"/>
    <w:rsid w:val="00D15253"/>
    <w:rsid w:val="00D155EC"/>
    <w:rsid w:val="00D2118A"/>
    <w:rsid w:val="00D21C0F"/>
    <w:rsid w:val="00D22C7D"/>
    <w:rsid w:val="00D266AD"/>
    <w:rsid w:val="00D27509"/>
    <w:rsid w:val="00D301C1"/>
    <w:rsid w:val="00D33F21"/>
    <w:rsid w:val="00D3484D"/>
    <w:rsid w:val="00D35657"/>
    <w:rsid w:val="00D356A7"/>
    <w:rsid w:val="00D3692A"/>
    <w:rsid w:val="00D422B4"/>
    <w:rsid w:val="00D50187"/>
    <w:rsid w:val="00D53321"/>
    <w:rsid w:val="00D53B4F"/>
    <w:rsid w:val="00D55770"/>
    <w:rsid w:val="00D6182F"/>
    <w:rsid w:val="00D61BB6"/>
    <w:rsid w:val="00D63450"/>
    <w:rsid w:val="00D638C3"/>
    <w:rsid w:val="00D66DAA"/>
    <w:rsid w:val="00D726E0"/>
    <w:rsid w:val="00D72AA8"/>
    <w:rsid w:val="00D80337"/>
    <w:rsid w:val="00D8113A"/>
    <w:rsid w:val="00D826DD"/>
    <w:rsid w:val="00D8402F"/>
    <w:rsid w:val="00D87D73"/>
    <w:rsid w:val="00D90E71"/>
    <w:rsid w:val="00D90FAE"/>
    <w:rsid w:val="00D912BB"/>
    <w:rsid w:val="00D94DF4"/>
    <w:rsid w:val="00DA188E"/>
    <w:rsid w:val="00DA384C"/>
    <w:rsid w:val="00DA3D37"/>
    <w:rsid w:val="00DA443B"/>
    <w:rsid w:val="00DB27E9"/>
    <w:rsid w:val="00DB2B1D"/>
    <w:rsid w:val="00DB7738"/>
    <w:rsid w:val="00DB7D94"/>
    <w:rsid w:val="00DC03A1"/>
    <w:rsid w:val="00DC10BF"/>
    <w:rsid w:val="00DC4637"/>
    <w:rsid w:val="00DC542B"/>
    <w:rsid w:val="00DD3130"/>
    <w:rsid w:val="00DD38CA"/>
    <w:rsid w:val="00DD660A"/>
    <w:rsid w:val="00DE1974"/>
    <w:rsid w:val="00DE26FC"/>
    <w:rsid w:val="00DE636F"/>
    <w:rsid w:val="00DF0619"/>
    <w:rsid w:val="00DF1E35"/>
    <w:rsid w:val="00DF49A9"/>
    <w:rsid w:val="00DF5483"/>
    <w:rsid w:val="00DF6208"/>
    <w:rsid w:val="00DF6DF1"/>
    <w:rsid w:val="00DF75B2"/>
    <w:rsid w:val="00E01EBF"/>
    <w:rsid w:val="00E02A23"/>
    <w:rsid w:val="00E03351"/>
    <w:rsid w:val="00E1277D"/>
    <w:rsid w:val="00E12EE0"/>
    <w:rsid w:val="00E12FBE"/>
    <w:rsid w:val="00E13635"/>
    <w:rsid w:val="00E168D7"/>
    <w:rsid w:val="00E22AB5"/>
    <w:rsid w:val="00E23A51"/>
    <w:rsid w:val="00E3420B"/>
    <w:rsid w:val="00E3617E"/>
    <w:rsid w:val="00E379EC"/>
    <w:rsid w:val="00E40636"/>
    <w:rsid w:val="00E40908"/>
    <w:rsid w:val="00E4684D"/>
    <w:rsid w:val="00E503A4"/>
    <w:rsid w:val="00E51ABD"/>
    <w:rsid w:val="00E53775"/>
    <w:rsid w:val="00E53E39"/>
    <w:rsid w:val="00E544B9"/>
    <w:rsid w:val="00E66E7B"/>
    <w:rsid w:val="00E71941"/>
    <w:rsid w:val="00E72676"/>
    <w:rsid w:val="00E737F9"/>
    <w:rsid w:val="00E73AF4"/>
    <w:rsid w:val="00E76B2F"/>
    <w:rsid w:val="00E77016"/>
    <w:rsid w:val="00E77412"/>
    <w:rsid w:val="00E80D93"/>
    <w:rsid w:val="00E858A8"/>
    <w:rsid w:val="00E87526"/>
    <w:rsid w:val="00E900D9"/>
    <w:rsid w:val="00E9108F"/>
    <w:rsid w:val="00E918AD"/>
    <w:rsid w:val="00E937CC"/>
    <w:rsid w:val="00E95395"/>
    <w:rsid w:val="00E972E0"/>
    <w:rsid w:val="00EA212F"/>
    <w:rsid w:val="00EA4D01"/>
    <w:rsid w:val="00EA50B9"/>
    <w:rsid w:val="00EB2067"/>
    <w:rsid w:val="00EB2AE5"/>
    <w:rsid w:val="00EB5754"/>
    <w:rsid w:val="00EB61E5"/>
    <w:rsid w:val="00EB7FB4"/>
    <w:rsid w:val="00EC246B"/>
    <w:rsid w:val="00EC4164"/>
    <w:rsid w:val="00EC6D4B"/>
    <w:rsid w:val="00ED100F"/>
    <w:rsid w:val="00ED3041"/>
    <w:rsid w:val="00ED4A57"/>
    <w:rsid w:val="00ED4F96"/>
    <w:rsid w:val="00ED6FD7"/>
    <w:rsid w:val="00EE06FA"/>
    <w:rsid w:val="00EE6A72"/>
    <w:rsid w:val="00EF49C1"/>
    <w:rsid w:val="00F0787F"/>
    <w:rsid w:val="00F10A84"/>
    <w:rsid w:val="00F10B33"/>
    <w:rsid w:val="00F112B6"/>
    <w:rsid w:val="00F12D50"/>
    <w:rsid w:val="00F16135"/>
    <w:rsid w:val="00F1780B"/>
    <w:rsid w:val="00F212DC"/>
    <w:rsid w:val="00F22A5A"/>
    <w:rsid w:val="00F23911"/>
    <w:rsid w:val="00F23A5D"/>
    <w:rsid w:val="00F26177"/>
    <w:rsid w:val="00F27DEA"/>
    <w:rsid w:val="00F404A9"/>
    <w:rsid w:val="00F42813"/>
    <w:rsid w:val="00F432F7"/>
    <w:rsid w:val="00F45A79"/>
    <w:rsid w:val="00F546C3"/>
    <w:rsid w:val="00F575AE"/>
    <w:rsid w:val="00F6363D"/>
    <w:rsid w:val="00F70FCC"/>
    <w:rsid w:val="00F73ECC"/>
    <w:rsid w:val="00F7504C"/>
    <w:rsid w:val="00F8126F"/>
    <w:rsid w:val="00F82F2F"/>
    <w:rsid w:val="00F90013"/>
    <w:rsid w:val="00F90389"/>
    <w:rsid w:val="00F90F4B"/>
    <w:rsid w:val="00F9127E"/>
    <w:rsid w:val="00F924D0"/>
    <w:rsid w:val="00FA03FD"/>
    <w:rsid w:val="00FA5180"/>
    <w:rsid w:val="00FB67B8"/>
    <w:rsid w:val="00FB6966"/>
    <w:rsid w:val="00FB7A12"/>
    <w:rsid w:val="00FC2C37"/>
    <w:rsid w:val="00FC45D5"/>
    <w:rsid w:val="00FC57EE"/>
    <w:rsid w:val="00FC68F5"/>
    <w:rsid w:val="00FC736E"/>
    <w:rsid w:val="00FD6223"/>
    <w:rsid w:val="00FD74F9"/>
    <w:rsid w:val="00FE4D88"/>
    <w:rsid w:val="00FE6420"/>
    <w:rsid w:val="00FE6818"/>
    <w:rsid w:val="00FF0B96"/>
    <w:rsid w:val="00FF159E"/>
    <w:rsid w:val="00FF2A1A"/>
    <w:rsid w:val="00FF5856"/>
    <w:rsid w:val="00FF5DC1"/>
    <w:rsid w:val="00FF6388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1C7CE0"/>
  <w15:chartTrackingRefBased/>
  <w15:docId w15:val="{2ED05CD3-984C-4F90-9792-1D277816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450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450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7A12"/>
    <w:pPr>
      <w:ind w:left="720"/>
      <w:contextualSpacing/>
    </w:pPr>
  </w:style>
  <w:style w:type="table" w:styleId="TableGrid">
    <w:name w:val="Table Grid"/>
    <w:basedOn w:val="TableNormal"/>
    <w:uiPriority w:val="59"/>
    <w:rsid w:val="0053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208"/>
    <w:rPr>
      <w:b/>
      <w:bCs/>
      <w:sz w:val="20"/>
      <w:szCs w:val="20"/>
    </w:rPr>
  </w:style>
  <w:style w:type="paragraph" w:customStyle="1" w:styleId="Default">
    <w:name w:val="Default"/>
    <w:rsid w:val="00206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3450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450"/>
    <w:rPr>
      <w:rFonts w:eastAsiaTheme="majorEastAsia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4B"/>
  </w:style>
  <w:style w:type="paragraph" w:styleId="Footer">
    <w:name w:val="footer"/>
    <w:basedOn w:val="Normal"/>
    <w:link w:val="FooterChar"/>
    <w:uiPriority w:val="99"/>
    <w:unhideWhenUsed/>
    <w:rsid w:val="00EC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4B"/>
  </w:style>
  <w:style w:type="paragraph" w:styleId="Revision">
    <w:name w:val="Revision"/>
    <w:hidden/>
    <w:uiPriority w:val="99"/>
    <w:semiHidden/>
    <w:rsid w:val="00B151A4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4D3721"/>
    <w:pPr>
      <w:keepNext/>
      <w:spacing w:before="120" w:after="227" w:line="240" w:lineRule="auto"/>
    </w:pPr>
    <w:rPr>
      <w:rFonts w:asciiTheme="majorHAnsi" w:eastAsia="Batang" w:hAnsiTheme="majorHAnsi" w:cs="Arial"/>
      <w:b/>
      <w:bCs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8EBA-FCBD-4F89-9B2E-F2B24D8F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Brennan</dc:creator>
  <cp:keywords/>
  <dc:description/>
  <cp:lastModifiedBy>Joanne McKenzie</cp:lastModifiedBy>
  <cp:revision>174</cp:revision>
  <cp:lastPrinted>2022-08-11T01:26:00Z</cp:lastPrinted>
  <dcterms:created xsi:type="dcterms:W3CDTF">2023-08-29T12:17:00Z</dcterms:created>
  <dcterms:modified xsi:type="dcterms:W3CDTF">2024-03-04T04:37:00Z</dcterms:modified>
</cp:coreProperties>
</file>