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69C1" w14:textId="288806F2" w:rsidR="00D10785" w:rsidRDefault="00376ECB" w:rsidP="00CC2CE8">
      <w:pPr>
        <w:pStyle w:val="Heading1"/>
        <w:rPr>
          <w:lang w:val="en-US"/>
        </w:rPr>
      </w:pPr>
      <w:r>
        <w:rPr>
          <w:lang w:val="en-US"/>
        </w:rPr>
        <w:t>Introduction to meta-analysis</w:t>
      </w:r>
      <w:r w:rsidR="00CC2CE8">
        <w:rPr>
          <w:lang w:val="en-US"/>
        </w:rPr>
        <w:t xml:space="preserve">: </w:t>
      </w:r>
      <w:r w:rsidR="00CB37A0">
        <w:rPr>
          <w:lang w:val="en-US"/>
        </w:rPr>
        <w:t>P</w:t>
      </w:r>
      <w:r w:rsidR="00CC2CE8">
        <w:rPr>
          <w:lang w:val="en-US"/>
        </w:rPr>
        <w:t xml:space="preserve">ackage-specific </w:t>
      </w:r>
      <w:r w:rsidR="0066134A">
        <w:rPr>
          <w:lang w:val="en-US"/>
        </w:rPr>
        <w:t xml:space="preserve">guidance </w:t>
      </w:r>
    </w:p>
    <w:p w14:paraId="55D08A40" w14:textId="3C54AD2A" w:rsidR="0066134A" w:rsidRDefault="0066134A" w:rsidP="0066134A">
      <w:pPr>
        <w:rPr>
          <w:lang w:val="en-US"/>
        </w:rPr>
      </w:pPr>
    </w:p>
    <w:p w14:paraId="017D2B05" w14:textId="65F665B2" w:rsidR="009C69A2" w:rsidRDefault="0066134A" w:rsidP="009C69A2">
      <w:pPr>
        <w:rPr>
          <w:lang w:val="en-US"/>
        </w:rPr>
      </w:pPr>
      <w:r>
        <w:rPr>
          <w:lang w:val="en-US"/>
        </w:rPr>
        <w:t>This guidance provides more information on the speci</w:t>
      </w:r>
      <w:r w:rsidR="00071723">
        <w:rPr>
          <w:lang w:val="en-US"/>
        </w:rPr>
        <w:t>fic learning package, related to the didactic input, interactive exercises and any important discussion point</w:t>
      </w:r>
      <w:r w:rsidR="005B7395">
        <w:rPr>
          <w:lang w:val="en-US"/>
        </w:rPr>
        <w:t>s</w:t>
      </w:r>
      <w:r w:rsidR="00071723">
        <w:rPr>
          <w:lang w:val="en-US"/>
        </w:rPr>
        <w:t xml:space="preserve">. For general information on planning </w:t>
      </w:r>
      <w:r w:rsidR="00870116">
        <w:rPr>
          <w:lang w:val="en-US"/>
        </w:rPr>
        <w:t xml:space="preserve">and implementing a </w:t>
      </w:r>
      <w:r w:rsidR="00F91682">
        <w:rPr>
          <w:lang w:val="en-US"/>
        </w:rPr>
        <w:t>workshop/</w:t>
      </w:r>
      <w:r w:rsidR="00870116">
        <w:rPr>
          <w:lang w:val="en-US"/>
        </w:rPr>
        <w:t xml:space="preserve">session, please consult the Trainers’ Guide. </w:t>
      </w:r>
    </w:p>
    <w:p w14:paraId="20EEB673" w14:textId="130A35B1" w:rsidR="00DB5F08" w:rsidRPr="0066134A" w:rsidRDefault="009C69A2" w:rsidP="000546DE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About the learning package</w:t>
      </w:r>
    </w:p>
    <w:p w14:paraId="32A54ECD" w14:textId="14A1DED8" w:rsidR="000546DE" w:rsidRDefault="000546DE" w:rsidP="000546DE">
      <w:pPr>
        <w:rPr>
          <w:lang w:val="en-US"/>
        </w:rPr>
      </w:pPr>
      <w:r>
        <w:rPr>
          <w:lang w:val="en-US"/>
        </w:rPr>
        <w:t xml:space="preserve">This learning package contains the following learning material: </w:t>
      </w:r>
    </w:p>
    <w:p w14:paraId="548B7D6C" w14:textId="17A1DD33" w:rsidR="000546DE" w:rsidRDefault="008603E7" w:rsidP="000546D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PowerPoint presentation on theoretical concepts</w:t>
      </w:r>
    </w:p>
    <w:p w14:paraId="3CFEC7C0" w14:textId="77777777" w:rsidR="00076915" w:rsidRDefault="00076915" w:rsidP="0007691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Exercise on reading a forest plot</w:t>
      </w:r>
    </w:p>
    <w:p w14:paraId="1541E2B9" w14:textId="48736165" w:rsidR="00076915" w:rsidRDefault="001F393D" w:rsidP="0007691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Learners</w:t>
      </w:r>
      <w:r w:rsidR="00076915">
        <w:rPr>
          <w:lang w:val="en-US"/>
        </w:rPr>
        <w:t>’ version</w:t>
      </w:r>
    </w:p>
    <w:p w14:paraId="1BA3A21C" w14:textId="77777777" w:rsidR="00076915" w:rsidRPr="00C70314" w:rsidRDefault="00076915" w:rsidP="0007691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Trainers’ version</w:t>
      </w:r>
    </w:p>
    <w:p w14:paraId="01F224AA" w14:textId="12B16576" w:rsidR="0046650C" w:rsidRDefault="0046650C" w:rsidP="0046650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Quiz questions to integrate </w:t>
      </w:r>
      <w:r w:rsidR="005312C1">
        <w:rPr>
          <w:lang w:val="en-US"/>
        </w:rPr>
        <w:t>into the presentation</w:t>
      </w:r>
    </w:p>
    <w:p w14:paraId="01978E7A" w14:textId="2CDD1B51" w:rsidR="00DB5F08" w:rsidRDefault="005312C1" w:rsidP="00DB5F0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Self-assessment questions to assess </w:t>
      </w:r>
      <w:r w:rsidR="00211667">
        <w:rPr>
          <w:lang w:val="en-US"/>
        </w:rPr>
        <w:t>knowledge</w:t>
      </w:r>
    </w:p>
    <w:p w14:paraId="396DBF14" w14:textId="15E59DC9" w:rsidR="00945811" w:rsidRDefault="001F393D" w:rsidP="0094581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Learners</w:t>
      </w:r>
      <w:r w:rsidR="00945811">
        <w:rPr>
          <w:lang w:val="en-US"/>
        </w:rPr>
        <w:t>’ version</w:t>
      </w:r>
    </w:p>
    <w:p w14:paraId="29AC243D" w14:textId="6DB715C1" w:rsidR="00945811" w:rsidRDefault="00945811" w:rsidP="0094581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Trainers’ version</w:t>
      </w:r>
    </w:p>
    <w:p w14:paraId="23CA75DD" w14:textId="3C02BBC8" w:rsidR="00FE71C9" w:rsidRDefault="008A2E1E" w:rsidP="00FE71C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Additional resources</w:t>
      </w:r>
    </w:p>
    <w:p w14:paraId="2088BE56" w14:textId="6F466685" w:rsidR="001F393D" w:rsidRDefault="001F393D" w:rsidP="001F393D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Links to the Cochrane Interactive Learning module 6</w:t>
      </w:r>
    </w:p>
    <w:p w14:paraId="38FAB49F" w14:textId="6E70B81D" w:rsidR="001F393D" w:rsidRDefault="001F393D" w:rsidP="001F393D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Links to Cochrane Handbook Chapter </w:t>
      </w:r>
      <w:r>
        <w:rPr>
          <w:lang w:val="en-US"/>
        </w:rPr>
        <w:t>10</w:t>
      </w:r>
      <w:r>
        <w:rPr>
          <w:lang w:val="en-US"/>
        </w:rPr>
        <w:t xml:space="preserve"> and 1</w:t>
      </w:r>
      <w:r>
        <w:rPr>
          <w:lang w:val="en-US"/>
        </w:rPr>
        <w:t>4</w:t>
      </w:r>
    </w:p>
    <w:p w14:paraId="04F00744" w14:textId="77777777" w:rsidR="001F393D" w:rsidRPr="007E1C11" w:rsidRDefault="001F393D" w:rsidP="001F393D">
      <w:pPr>
        <w:pStyle w:val="ListParagraph"/>
        <w:numPr>
          <w:ilvl w:val="1"/>
          <w:numId w:val="5"/>
        </w:numPr>
        <w:rPr>
          <w:lang w:val="en-US"/>
        </w:rPr>
      </w:pPr>
      <w:r w:rsidRPr="007E1C11">
        <w:rPr>
          <w:lang w:val="en-US"/>
        </w:rPr>
        <w:t xml:space="preserve">Links to the relevant MECIR standards </w:t>
      </w:r>
    </w:p>
    <w:p w14:paraId="1584142E" w14:textId="30DAAD44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Using the presentation</w:t>
      </w:r>
    </w:p>
    <w:p w14:paraId="3256FEF1" w14:textId="0A4915EC" w:rsidR="002953D1" w:rsidRPr="002953D1" w:rsidRDefault="00823F3D" w:rsidP="002953D1">
      <w:pPr>
        <w:rPr>
          <w:lang w:val="en-US"/>
        </w:rPr>
      </w:pPr>
      <w:r>
        <w:rPr>
          <w:lang w:val="en-US"/>
        </w:rPr>
        <w:t xml:space="preserve">The PowerPoint presentation </w:t>
      </w:r>
      <w:r w:rsidR="007F3481">
        <w:rPr>
          <w:lang w:val="en-US"/>
        </w:rPr>
        <w:t>contains the didactic input for this learning package.</w:t>
      </w:r>
      <w:r w:rsidR="00EF5260">
        <w:rPr>
          <w:lang w:val="en-US"/>
        </w:rPr>
        <w:t xml:space="preserve"> The Trainers’ Guide provides general information </w:t>
      </w:r>
      <w:r w:rsidR="007A0D09">
        <w:rPr>
          <w:lang w:val="en-US"/>
        </w:rPr>
        <w:t xml:space="preserve">and guidance </w:t>
      </w:r>
      <w:r w:rsidR="00EF5260">
        <w:rPr>
          <w:lang w:val="en-US"/>
        </w:rPr>
        <w:t xml:space="preserve">on </w:t>
      </w:r>
      <w:r w:rsidR="007A0D09">
        <w:rPr>
          <w:lang w:val="en-US"/>
        </w:rPr>
        <w:t xml:space="preserve">using the PowerPoint presentations (section 3.1). </w:t>
      </w:r>
    </w:p>
    <w:p w14:paraId="2812D818" w14:textId="4E7F37D8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Implementing interactive exercises</w:t>
      </w:r>
    </w:p>
    <w:p w14:paraId="288B884D" w14:textId="782FEAEA" w:rsidR="00045D87" w:rsidRPr="00045D87" w:rsidRDefault="008D7C9D" w:rsidP="00045D87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>Reading forest plots</w:t>
      </w:r>
    </w:p>
    <w:p w14:paraId="38EDB431" w14:textId="29AF151A" w:rsidR="00432279" w:rsidRPr="00045D87" w:rsidRDefault="00202B18" w:rsidP="003046EB">
      <w:pPr>
        <w:rPr>
          <w:highlight w:val="yellow"/>
          <w:lang w:val="en-US"/>
        </w:rPr>
      </w:pPr>
      <w:r>
        <w:rPr>
          <w:lang w:val="en-US"/>
        </w:rPr>
        <w:t>T</w:t>
      </w:r>
      <w:r w:rsidRPr="00434BFF">
        <w:rPr>
          <w:lang w:val="en-US"/>
        </w:rPr>
        <w:t xml:space="preserve">his exercise aims to afford participants an opportunity to practice </w:t>
      </w:r>
      <w:r w:rsidR="00241063">
        <w:rPr>
          <w:lang w:val="en-US"/>
        </w:rPr>
        <w:t>reading forest plots. The exercise contains two forest plots</w:t>
      </w:r>
      <w:r w:rsidR="00C51A4E">
        <w:rPr>
          <w:lang w:val="en-US"/>
        </w:rPr>
        <w:t xml:space="preserve"> – a meta-analysis of a dichotomous outcome and a meta-analysis of a continuous outcome – and requires participants to answer questions</w:t>
      </w:r>
      <w:r w:rsidR="00FC60CD" w:rsidRPr="00434BFF">
        <w:rPr>
          <w:lang w:val="en-US"/>
        </w:rPr>
        <w:t xml:space="preserve"> </w:t>
      </w:r>
      <w:r w:rsidR="00C51A4E">
        <w:rPr>
          <w:lang w:val="en-US"/>
        </w:rPr>
        <w:t xml:space="preserve">about the forest plots. </w:t>
      </w:r>
      <w:r w:rsidR="00BE5011">
        <w:rPr>
          <w:lang w:val="en-US"/>
        </w:rPr>
        <w:t xml:space="preserve">Forest plots are examples from published Cochrane reviews. </w:t>
      </w:r>
    </w:p>
    <w:p w14:paraId="0414C37B" w14:textId="7BE54752" w:rsidR="003046EB" w:rsidRPr="00045D87" w:rsidRDefault="000569C0" w:rsidP="003046EB">
      <w:pPr>
        <w:rPr>
          <w:highlight w:val="yellow"/>
          <w:lang w:val="en-US"/>
        </w:rPr>
      </w:pPr>
      <w:r w:rsidRPr="004F7FF9">
        <w:rPr>
          <w:lang w:val="en-US"/>
        </w:rPr>
        <w:t xml:space="preserve">There are </w:t>
      </w:r>
      <w:r w:rsidR="004F7FF9">
        <w:rPr>
          <w:lang w:val="en-US"/>
        </w:rPr>
        <w:t>two</w:t>
      </w:r>
      <w:r w:rsidRPr="004F7FF9">
        <w:rPr>
          <w:lang w:val="en-US"/>
        </w:rPr>
        <w:t xml:space="preserve"> different worksheets, </w:t>
      </w:r>
      <w:r w:rsidR="00BC1C4C" w:rsidRPr="004F7FF9">
        <w:rPr>
          <w:lang w:val="en-US"/>
        </w:rPr>
        <w:t xml:space="preserve">each related to a different topic, namely </w:t>
      </w:r>
      <w:r w:rsidR="00D63550" w:rsidRPr="004F7FF9">
        <w:rPr>
          <w:lang w:val="en-US"/>
        </w:rPr>
        <w:t xml:space="preserve">1) </w:t>
      </w:r>
      <w:r w:rsidR="0039045A">
        <w:rPr>
          <w:lang w:val="en-US"/>
        </w:rPr>
        <w:t>Corticosteroids for a sore throat</w:t>
      </w:r>
      <w:r w:rsidR="006936EE">
        <w:rPr>
          <w:lang w:val="en-US"/>
        </w:rPr>
        <w:t>, and</w:t>
      </w:r>
      <w:r w:rsidR="00BC1C4C" w:rsidRPr="004F7FF9">
        <w:rPr>
          <w:lang w:val="en-US"/>
        </w:rPr>
        <w:t xml:space="preserve"> </w:t>
      </w:r>
      <w:r w:rsidR="00D63550" w:rsidRPr="004F7FF9">
        <w:rPr>
          <w:lang w:val="en-US"/>
        </w:rPr>
        <w:t xml:space="preserve">2) </w:t>
      </w:r>
      <w:r w:rsidR="0039045A">
        <w:rPr>
          <w:lang w:val="en-US"/>
        </w:rPr>
        <w:t xml:space="preserve">Malaria (oral iron supplementation in children, and </w:t>
      </w:r>
      <w:r w:rsidR="00BE5011">
        <w:rPr>
          <w:lang w:val="en-US"/>
        </w:rPr>
        <w:t xml:space="preserve">insecticide treated </w:t>
      </w:r>
      <w:r w:rsidR="0050775E">
        <w:rPr>
          <w:lang w:val="en-US"/>
        </w:rPr>
        <w:t>bed nets</w:t>
      </w:r>
      <w:r w:rsidR="00BE5011">
        <w:rPr>
          <w:lang w:val="en-US"/>
        </w:rPr>
        <w:t>)</w:t>
      </w:r>
      <w:r w:rsidR="006D3389">
        <w:rPr>
          <w:lang w:val="en-US"/>
        </w:rPr>
        <w:t xml:space="preserve">. </w:t>
      </w:r>
      <w:r w:rsidR="00E2545A" w:rsidRPr="004F7FF9">
        <w:rPr>
          <w:lang w:val="en-US"/>
        </w:rPr>
        <w:t xml:space="preserve">You can choose a worksheet based on the background of your participants and the context within which the </w:t>
      </w:r>
      <w:r w:rsidR="00432279" w:rsidRPr="004F7FF9">
        <w:rPr>
          <w:lang w:val="en-US"/>
        </w:rPr>
        <w:t xml:space="preserve">workshop will be taking place. For example, if your participants are clinicians </w:t>
      </w:r>
      <w:r w:rsidR="00EE13CA" w:rsidRPr="004F7FF9">
        <w:rPr>
          <w:lang w:val="en-US"/>
        </w:rPr>
        <w:t xml:space="preserve">based in Sub-Saharan Africa, the </w:t>
      </w:r>
      <w:r w:rsidR="0050775E">
        <w:rPr>
          <w:lang w:val="en-US"/>
        </w:rPr>
        <w:t>forest plots</w:t>
      </w:r>
      <w:r w:rsidR="00EE13CA" w:rsidRPr="004F7FF9">
        <w:rPr>
          <w:lang w:val="en-US"/>
        </w:rPr>
        <w:t xml:space="preserve"> related to malaria </w:t>
      </w:r>
      <w:r w:rsidR="006D3389">
        <w:rPr>
          <w:lang w:val="en-US"/>
        </w:rPr>
        <w:t>might be more relevant</w:t>
      </w:r>
      <w:r w:rsidR="006C3100">
        <w:rPr>
          <w:lang w:val="en-US"/>
        </w:rPr>
        <w:t xml:space="preserve"> than the </w:t>
      </w:r>
      <w:r w:rsidR="0050775E">
        <w:rPr>
          <w:lang w:val="en-US"/>
        </w:rPr>
        <w:t>example related to sore throats</w:t>
      </w:r>
      <w:r w:rsidR="00EE13CA" w:rsidRPr="004F7FF9">
        <w:rPr>
          <w:lang w:val="en-US"/>
        </w:rPr>
        <w:t xml:space="preserve">. However, </w:t>
      </w:r>
      <w:r w:rsidR="00E13DA6" w:rsidRPr="004F7FF9">
        <w:rPr>
          <w:lang w:val="en-US"/>
        </w:rPr>
        <w:t>clinicians in Europe might not find th</w:t>
      </w:r>
      <w:r w:rsidR="006C3100">
        <w:rPr>
          <w:lang w:val="en-US"/>
        </w:rPr>
        <w:t>is</w:t>
      </w:r>
      <w:r w:rsidR="00E13DA6" w:rsidRPr="004F7FF9">
        <w:rPr>
          <w:lang w:val="en-US"/>
        </w:rPr>
        <w:t xml:space="preserve"> topic very relevant to their setting. Choosing relevant examples enhances learning, as it makes the experience more authentic and participants can relate to the problem.</w:t>
      </w:r>
      <w:r w:rsidR="00E13DA6" w:rsidRPr="00045D87">
        <w:rPr>
          <w:highlight w:val="yellow"/>
          <w:lang w:val="en-US"/>
        </w:rPr>
        <w:t xml:space="preserve"> </w:t>
      </w:r>
    </w:p>
    <w:p w14:paraId="39010E9C" w14:textId="5F88586B" w:rsidR="005C317B" w:rsidRDefault="00E13DA6" w:rsidP="003046EB">
      <w:pPr>
        <w:rPr>
          <w:lang w:val="en-US"/>
        </w:rPr>
      </w:pPr>
      <w:r w:rsidRPr="006C3100">
        <w:rPr>
          <w:lang w:val="en-US"/>
        </w:rPr>
        <w:t xml:space="preserve">Although the </w:t>
      </w:r>
      <w:r w:rsidR="0050775E">
        <w:rPr>
          <w:lang w:val="en-US"/>
        </w:rPr>
        <w:t>forest plots</w:t>
      </w:r>
      <w:r w:rsidRPr="006C3100">
        <w:rPr>
          <w:lang w:val="en-US"/>
        </w:rPr>
        <w:t xml:space="preserve"> and topic areas differ</w:t>
      </w:r>
      <w:r w:rsidR="009338CD" w:rsidRPr="006C3100">
        <w:rPr>
          <w:lang w:val="en-US"/>
        </w:rPr>
        <w:t xml:space="preserve">, the questions that participants need to answer are similar </w:t>
      </w:r>
      <w:r w:rsidR="006C3100">
        <w:rPr>
          <w:lang w:val="en-US"/>
        </w:rPr>
        <w:t xml:space="preserve">for both </w:t>
      </w:r>
      <w:r w:rsidR="009338CD" w:rsidRPr="006C3100">
        <w:rPr>
          <w:lang w:val="en-US"/>
        </w:rPr>
        <w:t>worksheets</w:t>
      </w:r>
      <w:r w:rsidR="0050775E">
        <w:rPr>
          <w:lang w:val="en-US"/>
        </w:rPr>
        <w:t xml:space="preserve">. The questions </w:t>
      </w:r>
      <w:r w:rsidR="00C76866">
        <w:rPr>
          <w:lang w:val="en-US"/>
        </w:rPr>
        <w:t xml:space="preserve">are basic </w:t>
      </w:r>
      <w:r w:rsidR="003D6E75">
        <w:rPr>
          <w:lang w:val="en-US"/>
        </w:rPr>
        <w:t xml:space="preserve">to help participants navigate a forest plot. They do not require participants to interpret the results of the forest plot, as this will be dealt with in another module. </w:t>
      </w:r>
      <w:r w:rsidR="0050775E">
        <w:rPr>
          <w:lang w:val="en-US"/>
        </w:rPr>
        <w:t xml:space="preserve"> </w:t>
      </w:r>
      <w:r w:rsidR="003D6E75">
        <w:rPr>
          <w:lang w:val="en-US"/>
        </w:rPr>
        <w:t xml:space="preserve">The following questions are included: </w:t>
      </w:r>
    </w:p>
    <w:p w14:paraId="13F4B15E" w14:textId="0986BBAC" w:rsidR="00DA79C9" w:rsidRPr="00DA79C9" w:rsidRDefault="00DA79C9" w:rsidP="008F605C">
      <w:pPr>
        <w:spacing w:after="0"/>
        <w:ind w:left="720"/>
        <w:rPr>
          <w:lang w:val="en-US"/>
        </w:rPr>
      </w:pPr>
      <w:r w:rsidRPr="00DA79C9">
        <w:rPr>
          <w:lang w:val="en-US"/>
        </w:rPr>
        <w:t>1)</w:t>
      </w:r>
      <w:r w:rsidRPr="00DA79C9">
        <w:rPr>
          <w:lang w:val="en-US"/>
        </w:rPr>
        <w:tab/>
        <w:t>What are the two groups being compared in the forest plots?</w:t>
      </w:r>
    </w:p>
    <w:p w14:paraId="5272BC67" w14:textId="5F107469" w:rsidR="00DA79C9" w:rsidRPr="00DA79C9" w:rsidRDefault="00DA79C9" w:rsidP="008F605C">
      <w:pPr>
        <w:spacing w:after="0"/>
        <w:ind w:left="720"/>
        <w:rPr>
          <w:lang w:val="en-US"/>
        </w:rPr>
      </w:pPr>
      <w:r w:rsidRPr="00DA79C9">
        <w:rPr>
          <w:lang w:val="en-US"/>
        </w:rPr>
        <w:t>2)</w:t>
      </w:r>
      <w:r w:rsidRPr="00DA79C9">
        <w:rPr>
          <w:lang w:val="en-US"/>
        </w:rPr>
        <w:tab/>
        <w:t>What is the o</w:t>
      </w:r>
      <w:r>
        <w:rPr>
          <w:lang w:val="en-US"/>
        </w:rPr>
        <w:t>u</w:t>
      </w:r>
      <w:r w:rsidRPr="00DA79C9">
        <w:rPr>
          <w:lang w:val="en-US"/>
        </w:rPr>
        <w:t>tcome addressed in the forest plot?</w:t>
      </w:r>
    </w:p>
    <w:p w14:paraId="5DB5A3E5" w14:textId="057DE571" w:rsidR="00DA79C9" w:rsidRPr="00DA79C9" w:rsidRDefault="00DA79C9" w:rsidP="008F605C">
      <w:pPr>
        <w:spacing w:after="0"/>
        <w:ind w:left="720"/>
        <w:rPr>
          <w:lang w:val="en-US"/>
        </w:rPr>
      </w:pPr>
      <w:r w:rsidRPr="00DA79C9">
        <w:rPr>
          <w:lang w:val="en-US"/>
        </w:rPr>
        <w:lastRenderedPageBreak/>
        <w:t>3)</w:t>
      </w:r>
      <w:r w:rsidRPr="00DA79C9">
        <w:rPr>
          <w:lang w:val="en-US"/>
        </w:rPr>
        <w:tab/>
        <w:t>What type of meta-analysis was done?</w:t>
      </w:r>
    </w:p>
    <w:p w14:paraId="47E5234A" w14:textId="64DB6C43" w:rsidR="00DA79C9" w:rsidRPr="00DA79C9" w:rsidRDefault="00DA79C9" w:rsidP="008F605C">
      <w:pPr>
        <w:spacing w:after="0"/>
        <w:ind w:left="720"/>
        <w:rPr>
          <w:lang w:val="en-US"/>
        </w:rPr>
      </w:pPr>
      <w:r w:rsidRPr="00DA79C9">
        <w:rPr>
          <w:lang w:val="en-US"/>
        </w:rPr>
        <w:t>4)</w:t>
      </w:r>
      <w:r w:rsidRPr="00DA79C9">
        <w:rPr>
          <w:lang w:val="en-US"/>
        </w:rPr>
        <w:tab/>
        <w:t>How many studies were included in the meta-analysis?</w:t>
      </w:r>
    </w:p>
    <w:p w14:paraId="0CB4E79A" w14:textId="51033926" w:rsidR="003D6E75" w:rsidRDefault="00DA79C9" w:rsidP="008F605C">
      <w:pPr>
        <w:spacing w:after="0"/>
        <w:ind w:left="720"/>
        <w:rPr>
          <w:lang w:val="en-US"/>
        </w:rPr>
      </w:pPr>
      <w:r w:rsidRPr="00DA79C9">
        <w:rPr>
          <w:lang w:val="en-US"/>
        </w:rPr>
        <w:t>5)</w:t>
      </w:r>
      <w:r w:rsidRPr="00DA79C9">
        <w:rPr>
          <w:lang w:val="en-US"/>
        </w:rPr>
        <w:tab/>
        <w:t>What was the total number of participants included in the meta-analysis?</w:t>
      </w:r>
    </w:p>
    <w:p w14:paraId="281F9DDB" w14:textId="3B9CA96B" w:rsidR="008F605C" w:rsidRPr="008F605C" w:rsidRDefault="008F605C" w:rsidP="008F605C">
      <w:pPr>
        <w:spacing w:after="0"/>
        <w:ind w:left="720"/>
        <w:rPr>
          <w:lang w:val="en-US"/>
        </w:rPr>
      </w:pPr>
      <w:r w:rsidRPr="008F605C">
        <w:rPr>
          <w:lang w:val="en-US"/>
        </w:rPr>
        <w:t>6)</w:t>
      </w:r>
      <w:r w:rsidRPr="008F605C">
        <w:rPr>
          <w:lang w:val="en-US"/>
        </w:rPr>
        <w:tab/>
        <w:t>Which study added the most weight to the analysis?</w:t>
      </w:r>
    </w:p>
    <w:p w14:paraId="3897AF5B" w14:textId="6224D5DA" w:rsidR="008F605C" w:rsidRPr="008F605C" w:rsidRDefault="008F605C" w:rsidP="008F605C">
      <w:pPr>
        <w:spacing w:after="0"/>
        <w:ind w:left="720"/>
        <w:rPr>
          <w:lang w:val="en-US"/>
        </w:rPr>
      </w:pPr>
      <w:r w:rsidRPr="008F605C">
        <w:rPr>
          <w:lang w:val="en-US"/>
        </w:rPr>
        <w:t>7)</w:t>
      </w:r>
      <w:r w:rsidRPr="008F605C">
        <w:rPr>
          <w:lang w:val="en-US"/>
        </w:rPr>
        <w:tab/>
        <w:t>What measure of effect was used?</w:t>
      </w:r>
    </w:p>
    <w:p w14:paraId="5AEFA55A" w14:textId="1DE1C34A" w:rsidR="008F605C" w:rsidRPr="008F605C" w:rsidRDefault="008F605C" w:rsidP="008F605C">
      <w:pPr>
        <w:spacing w:after="0"/>
        <w:ind w:left="720"/>
        <w:rPr>
          <w:lang w:val="en-US"/>
        </w:rPr>
      </w:pPr>
      <w:r w:rsidRPr="008F605C">
        <w:rPr>
          <w:lang w:val="en-US"/>
        </w:rPr>
        <w:t>8)</w:t>
      </w:r>
      <w:r w:rsidRPr="008F605C">
        <w:rPr>
          <w:lang w:val="en-US"/>
        </w:rPr>
        <w:tab/>
        <w:t>Which study showed the biggest effect?</w:t>
      </w:r>
    </w:p>
    <w:p w14:paraId="03B4412C" w14:textId="7A7E7F90" w:rsidR="008F605C" w:rsidRDefault="008F605C" w:rsidP="008F605C">
      <w:pPr>
        <w:spacing w:after="0"/>
        <w:ind w:left="720"/>
        <w:rPr>
          <w:lang w:val="en-US"/>
        </w:rPr>
      </w:pPr>
      <w:r w:rsidRPr="008F605C">
        <w:rPr>
          <w:lang w:val="en-US"/>
        </w:rPr>
        <w:t>9)</w:t>
      </w:r>
      <w:r w:rsidRPr="008F605C">
        <w:rPr>
          <w:lang w:val="en-US"/>
        </w:rPr>
        <w:tab/>
        <w:t>What was the overall pooled effect?</w:t>
      </w:r>
    </w:p>
    <w:p w14:paraId="61F0B710" w14:textId="77777777" w:rsidR="008F605C" w:rsidRPr="006C3100" w:rsidRDefault="008F605C" w:rsidP="008F605C">
      <w:pPr>
        <w:spacing w:after="0"/>
        <w:ind w:left="720"/>
        <w:rPr>
          <w:lang w:val="en-US"/>
        </w:rPr>
      </w:pPr>
    </w:p>
    <w:p w14:paraId="286D3B26" w14:textId="56637C21" w:rsidR="00E13DA6" w:rsidRPr="006322AA" w:rsidRDefault="005C317B" w:rsidP="003046EB">
      <w:pPr>
        <w:rPr>
          <w:lang w:val="en-US"/>
        </w:rPr>
      </w:pPr>
      <w:r w:rsidRPr="006322AA">
        <w:rPr>
          <w:lang w:val="en-US"/>
        </w:rPr>
        <w:t xml:space="preserve">For </w:t>
      </w:r>
      <w:r w:rsidR="006322AA" w:rsidRPr="006322AA">
        <w:rPr>
          <w:lang w:val="en-US"/>
        </w:rPr>
        <w:t xml:space="preserve">both </w:t>
      </w:r>
      <w:r w:rsidRPr="006322AA">
        <w:rPr>
          <w:lang w:val="en-US"/>
        </w:rPr>
        <w:t>worksheets, there is a version for participants and a version for trainers. The participant version is a clean version, containing the</w:t>
      </w:r>
      <w:r w:rsidR="00885DB6">
        <w:rPr>
          <w:lang w:val="en-US"/>
        </w:rPr>
        <w:t xml:space="preserve"> forest plots and</w:t>
      </w:r>
      <w:r w:rsidRPr="006322AA">
        <w:rPr>
          <w:lang w:val="en-US"/>
        </w:rPr>
        <w:t xml:space="preserve"> the questions. </w:t>
      </w:r>
      <w:r w:rsidR="00BA4CAC" w:rsidRPr="006322AA">
        <w:rPr>
          <w:lang w:val="en-US"/>
        </w:rPr>
        <w:t>This is the version that you will make copies of and hand out to participants during the workshop. The trainer</w:t>
      </w:r>
      <w:r w:rsidR="00774806" w:rsidRPr="006322AA">
        <w:rPr>
          <w:lang w:val="en-US"/>
        </w:rPr>
        <w:t xml:space="preserve"> version contains the answers to the questions and it will be helpful for the facilitators to each have a copy. </w:t>
      </w:r>
    </w:p>
    <w:p w14:paraId="4E553F52" w14:textId="01A454BB" w:rsidR="007D384C" w:rsidRPr="006322AA" w:rsidRDefault="007D384C" w:rsidP="003046EB">
      <w:pPr>
        <w:rPr>
          <w:lang w:val="en-US"/>
        </w:rPr>
      </w:pPr>
      <w:r w:rsidRPr="006322AA">
        <w:rPr>
          <w:lang w:val="en-US"/>
        </w:rPr>
        <w:t xml:space="preserve">This exercise can be done by each participant on their own, in pairs, or in a small group. However, </w:t>
      </w:r>
      <w:r w:rsidR="00AE5D75" w:rsidRPr="006322AA">
        <w:rPr>
          <w:lang w:val="en-US"/>
        </w:rPr>
        <w:t xml:space="preserve">we suggest that small groups are kept to no more than four participants, as this exercise does not require that much discussion and </w:t>
      </w:r>
      <w:r w:rsidR="00745D42" w:rsidRPr="006322AA">
        <w:rPr>
          <w:lang w:val="en-US"/>
        </w:rPr>
        <w:t xml:space="preserve">it is important that all participants are able to </w:t>
      </w:r>
      <w:r w:rsidR="00C16FFC">
        <w:rPr>
          <w:lang w:val="en-US"/>
        </w:rPr>
        <w:t xml:space="preserve">read and understand the forest plots. </w:t>
      </w:r>
      <w:r w:rsidR="00733415" w:rsidRPr="006322AA">
        <w:rPr>
          <w:lang w:val="en-US"/>
        </w:rPr>
        <w:t xml:space="preserve"> </w:t>
      </w:r>
    </w:p>
    <w:p w14:paraId="703879FE" w14:textId="4E027CE9" w:rsidR="00733415" w:rsidRPr="00045D87" w:rsidRDefault="00733415" w:rsidP="003046EB">
      <w:pPr>
        <w:rPr>
          <w:highlight w:val="yellow"/>
          <w:lang w:val="en-US"/>
        </w:rPr>
      </w:pPr>
      <w:r w:rsidRPr="008548EA">
        <w:rPr>
          <w:lang w:val="en-US"/>
        </w:rPr>
        <w:t xml:space="preserve">We suggest that you include this exercise after you have completed the didactic input, as this will help participants </w:t>
      </w:r>
      <w:r w:rsidR="00380BF2" w:rsidRPr="008548EA">
        <w:rPr>
          <w:lang w:val="en-US"/>
        </w:rPr>
        <w:t>apply the new knowledge and skills that</w:t>
      </w:r>
      <w:r w:rsidRPr="008548EA">
        <w:rPr>
          <w:lang w:val="en-US"/>
        </w:rPr>
        <w:t xml:space="preserve"> </w:t>
      </w:r>
      <w:r w:rsidR="00380BF2" w:rsidRPr="008548EA">
        <w:rPr>
          <w:lang w:val="en-US"/>
        </w:rPr>
        <w:t>they acquired during the presentation. The exercise should not take up too much time</w:t>
      </w:r>
      <w:r w:rsidR="0038481A" w:rsidRPr="008548EA">
        <w:rPr>
          <w:lang w:val="en-US"/>
        </w:rPr>
        <w:t>. We envisage that participants will need about</w:t>
      </w:r>
      <w:r w:rsidR="00C16FFC">
        <w:rPr>
          <w:lang w:val="en-US"/>
        </w:rPr>
        <w:t xml:space="preserve"> 20 minutes</w:t>
      </w:r>
      <w:r w:rsidR="0038481A" w:rsidRPr="008548EA">
        <w:rPr>
          <w:lang w:val="en-US"/>
        </w:rPr>
        <w:t xml:space="preserve"> to </w:t>
      </w:r>
      <w:r w:rsidR="009A0547" w:rsidRPr="008548EA">
        <w:rPr>
          <w:lang w:val="en-US"/>
        </w:rPr>
        <w:t>complete</w:t>
      </w:r>
      <w:r w:rsidR="0038481A" w:rsidRPr="008548EA">
        <w:rPr>
          <w:lang w:val="en-US"/>
        </w:rPr>
        <w:t xml:space="preserve"> the exercise</w:t>
      </w:r>
      <w:r w:rsidR="009A0547" w:rsidRPr="008548EA">
        <w:rPr>
          <w:lang w:val="en-US"/>
        </w:rPr>
        <w:t xml:space="preserve"> depending on whether </w:t>
      </w:r>
      <w:r w:rsidR="00360668" w:rsidRPr="008548EA">
        <w:rPr>
          <w:lang w:val="en-US"/>
        </w:rPr>
        <w:t xml:space="preserve">participants work on their own, in pairs or in a small group. Small groups usually need a bit more time, as they will discuss the questions amongst the group. </w:t>
      </w:r>
      <w:r w:rsidR="001110AA" w:rsidRPr="008548EA">
        <w:rPr>
          <w:lang w:val="en-US"/>
        </w:rPr>
        <w:t xml:space="preserve">Allow enough time for feedback after participants have completed the worksheet, </w:t>
      </w:r>
      <w:r w:rsidR="008146DE" w:rsidRPr="008548EA">
        <w:rPr>
          <w:lang w:val="en-US"/>
        </w:rPr>
        <w:t xml:space="preserve">so that any remaining questions or muddy points can be discussed and resolved. We suggest allowing about </w:t>
      </w:r>
      <w:r w:rsidR="00C16FFC">
        <w:rPr>
          <w:lang w:val="en-US"/>
        </w:rPr>
        <w:t>20</w:t>
      </w:r>
      <w:r w:rsidR="008146DE" w:rsidRPr="008548EA">
        <w:rPr>
          <w:lang w:val="en-US"/>
        </w:rPr>
        <w:t xml:space="preserve"> minutes for feedback.</w:t>
      </w:r>
      <w:r w:rsidR="008146DE" w:rsidRPr="00045D87">
        <w:rPr>
          <w:highlight w:val="yellow"/>
          <w:lang w:val="en-US"/>
        </w:rPr>
        <w:t xml:space="preserve"> </w:t>
      </w:r>
    </w:p>
    <w:p w14:paraId="5385B708" w14:textId="234039DF" w:rsidR="00281E80" w:rsidRDefault="003046EB" w:rsidP="00281E80">
      <w:pPr>
        <w:pStyle w:val="Heading3"/>
        <w:numPr>
          <w:ilvl w:val="1"/>
          <w:numId w:val="3"/>
        </w:numPr>
        <w:rPr>
          <w:lang w:val="en-US"/>
        </w:rPr>
      </w:pPr>
      <w:r w:rsidRPr="00281E80">
        <w:rPr>
          <w:lang w:val="en-US"/>
        </w:rPr>
        <w:t xml:space="preserve">Integrating quiz questions </w:t>
      </w:r>
    </w:p>
    <w:p w14:paraId="0A8EDF75" w14:textId="66B9F6C4" w:rsidR="00281E80" w:rsidRPr="00045D87" w:rsidRDefault="002D4C40" w:rsidP="00281E80">
      <w:pPr>
        <w:rPr>
          <w:highlight w:val="yellow"/>
          <w:lang w:val="en-US"/>
        </w:rPr>
      </w:pPr>
      <w:r w:rsidRPr="00F744E4">
        <w:rPr>
          <w:lang w:val="en-US"/>
        </w:rPr>
        <w:t xml:space="preserve">Integrating a quiz into the presentation is a great way to receive feedback in real time. </w:t>
      </w:r>
      <w:r w:rsidR="00FF773C" w:rsidRPr="00F744E4">
        <w:rPr>
          <w:lang w:val="en-US"/>
        </w:rPr>
        <w:t xml:space="preserve">It allows both facilitators and participants </w:t>
      </w:r>
      <w:r w:rsidR="00C62254" w:rsidRPr="00F744E4">
        <w:rPr>
          <w:lang w:val="en-US"/>
        </w:rPr>
        <w:t>to gauge</w:t>
      </w:r>
      <w:r w:rsidRPr="00F744E4">
        <w:rPr>
          <w:lang w:val="en-US"/>
        </w:rPr>
        <w:t xml:space="preserve"> whether participants have u</w:t>
      </w:r>
      <w:r w:rsidR="00C62254" w:rsidRPr="00F744E4">
        <w:rPr>
          <w:lang w:val="en-US"/>
        </w:rPr>
        <w:t>nderstood the new concepts</w:t>
      </w:r>
      <w:r w:rsidR="00FF773C" w:rsidRPr="00F744E4">
        <w:rPr>
          <w:lang w:val="en-US"/>
        </w:rPr>
        <w:t>.</w:t>
      </w:r>
      <w:r w:rsidR="00FF773C" w:rsidRPr="00045D87">
        <w:rPr>
          <w:highlight w:val="yellow"/>
          <w:lang w:val="en-US"/>
        </w:rPr>
        <w:t xml:space="preserve"> </w:t>
      </w:r>
    </w:p>
    <w:p w14:paraId="1F122F03" w14:textId="03D53209" w:rsidR="00064F3D" w:rsidRDefault="00FF773C" w:rsidP="00F40890">
      <w:pPr>
        <w:rPr>
          <w:lang w:val="en-US"/>
        </w:rPr>
      </w:pPr>
      <w:r w:rsidRPr="005A4FD8">
        <w:rPr>
          <w:lang w:val="en-US"/>
        </w:rPr>
        <w:t>We have prepared a</w:t>
      </w:r>
      <w:r w:rsidR="002C4E62" w:rsidRPr="005A4FD8">
        <w:rPr>
          <w:lang w:val="en-US"/>
        </w:rPr>
        <w:t xml:space="preserve"> PowerPoint presentation</w:t>
      </w:r>
      <w:r w:rsidR="002441F2">
        <w:rPr>
          <w:lang w:val="en-US"/>
        </w:rPr>
        <w:t>, which includes</w:t>
      </w:r>
      <w:r w:rsidR="00450352">
        <w:rPr>
          <w:lang w:val="en-US"/>
        </w:rPr>
        <w:t xml:space="preserve"> 10 slides with</w:t>
      </w:r>
      <w:r w:rsidR="002441F2">
        <w:rPr>
          <w:lang w:val="en-US"/>
        </w:rPr>
        <w:t xml:space="preserve"> </w:t>
      </w:r>
      <w:r w:rsidR="00076915">
        <w:rPr>
          <w:lang w:val="en-US"/>
        </w:rPr>
        <w:t xml:space="preserve">a variety of forest plots </w:t>
      </w:r>
      <w:r w:rsidR="00606312">
        <w:rPr>
          <w:lang w:val="en-US"/>
        </w:rPr>
        <w:t xml:space="preserve">(including dichotomous and continuous data) </w:t>
      </w:r>
      <w:r w:rsidR="00076915">
        <w:rPr>
          <w:lang w:val="en-US"/>
        </w:rPr>
        <w:t>and</w:t>
      </w:r>
      <w:r w:rsidR="002441F2">
        <w:rPr>
          <w:lang w:val="en-US"/>
        </w:rPr>
        <w:t xml:space="preserve"> </w:t>
      </w:r>
      <w:r w:rsidR="004A2A26">
        <w:rPr>
          <w:lang w:val="en-US"/>
        </w:rPr>
        <w:t xml:space="preserve">subsequent </w:t>
      </w:r>
      <w:r w:rsidR="002441F2">
        <w:rPr>
          <w:lang w:val="en-US"/>
        </w:rPr>
        <w:t xml:space="preserve">questions </w:t>
      </w:r>
      <w:r w:rsidR="00500C9B" w:rsidRPr="005A4FD8">
        <w:rPr>
          <w:lang w:val="en-US"/>
        </w:rPr>
        <w:t>in the format of multiple</w:t>
      </w:r>
      <w:r w:rsidR="005E3814">
        <w:rPr>
          <w:lang w:val="en-US"/>
        </w:rPr>
        <w:t>-</w:t>
      </w:r>
      <w:r w:rsidR="00500C9B" w:rsidRPr="005A4FD8">
        <w:rPr>
          <w:lang w:val="en-US"/>
        </w:rPr>
        <w:t xml:space="preserve">choice questions (MCQs). </w:t>
      </w:r>
      <w:r w:rsidR="008D0BE6">
        <w:rPr>
          <w:lang w:val="en-US"/>
        </w:rPr>
        <w:t xml:space="preserve">The questions </w:t>
      </w:r>
      <w:r w:rsidR="007E6039">
        <w:rPr>
          <w:lang w:val="en-US"/>
        </w:rPr>
        <w:t>add</w:t>
      </w:r>
      <w:r w:rsidR="002A2D7D">
        <w:rPr>
          <w:lang w:val="en-US"/>
        </w:rPr>
        <w:t xml:space="preserve">ress general aspects of a forest plot and aim to enhance navigation of a forest plot. </w:t>
      </w:r>
      <w:r w:rsidR="00676E3A">
        <w:rPr>
          <w:lang w:val="en-US"/>
        </w:rPr>
        <w:t>You can choose how many of the forest plots you want to include in a quiz, as</w:t>
      </w:r>
      <w:r w:rsidR="00A827F5">
        <w:rPr>
          <w:lang w:val="en-US"/>
        </w:rPr>
        <w:t xml:space="preserve"> the</w:t>
      </w:r>
      <w:r w:rsidR="00676E3A">
        <w:rPr>
          <w:lang w:val="en-US"/>
        </w:rPr>
        <w:t xml:space="preserve"> questions </w:t>
      </w:r>
      <w:r w:rsidR="003100CC">
        <w:rPr>
          <w:lang w:val="en-US"/>
        </w:rPr>
        <w:t xml:space="preserve">for each forest plot </w:t>
      </w:r>
      <w:r w:rsidR="00676E3A">
        <w:rPr>
          <w:lang w:val="en-US"/>
        </w:rPr>
        <w:t>are similar</w:t>
      </w:r>
      <w:r w:rsidR="00A827F5">
        <w:rPr>
          <w:lang w:val="en-US"/>
        </w:rPr>
        <w:t xml:space="preserve">. </w:t>
      </w:r>
      <w:r w:rsidR="002A2D7D">
        <w:rPr>
          <w:lang w:val="en-US"/>
        </w:rPr>
        <w:t>The questions do not require participants to interpret the results of the forest plots, as this will be covered in a separate module</w:t>
      </w:r>
      <w:r w:rsidR="00064F3D">
        <w:rPr>
          <w:lang w:val="en-US"/>
        </w:rPr>
        <w:t xml:space="preserve">. </w:t>
      </w:r>
      <w:r w:rsidR="00D730AD">
        <w:rPr>
          <w:lang w:val="en-US"/>
        </w:rPr>
        <w:t>The correct answers to the questions are listed in the notes section of the presentation</w:t>
      </w:r>
      <w:r w:rsidR="00064F3D">
        <w:rPr>
          <w:lang w:val="en-US"/>
        </w:rPr>
        <w:t>.</w:t>
      </w:r>
      <w:r w:rsidR="00450352">
        <w:rPr>
          <w:lang w:val="en-US"/>
        </w:rPr>
        <w:t xml:space="preserve"> </w:t>
      </w:r>
    </w:p>
    <w:p w14:paraId="46B66AB9" w14:textId="7F0ED911" w:rsidR="00C57224" w:rsidRPr="005A4FD8" w:rsidRDefault="00C57224" w:rsidP="00F40890">
      <w:pPr>
        <w:rPr>
          <w:lang w:val="en-US"/>
        </w:rPr>
      </w:pPr>
      <w:r w:rsidRPr="005A4FD8">
        <w:rPr>
          <w:lang w:val="en-US"/>
        </w:rPr>
        <w:t xml:space="preserve">You can </w:t>
      </w:r>
      <w:r w:rsidR="008B749B" w:rsidRPr="005A4FD8">
        <w:rPr>
          <w:lang w:val="en-US"/>
        </w:rPr>
        <w:t xml:space="preserve">use these questions to check-in with participants at </w:t>
      </w:r>
      <w:r w:rsidR="00674CEA">
        <w:rPr>
          <w:lang w:val="en-US"/>
        </w:rPr>
        <w:t xml:space="preserve">the end of the </w:t>
      </w:r>
      <w:r w:rsidR="008B749B" w:rsidRPr="005A4FD8">
        <w:rPr>
          <w:lang w:val="en-US"/>
        </w:rPr>
        <w:t>presentation.</w:t>
      </w:r>
      <w:r w:rsidR="00707904">
        <w:rPr>
          <w:lang w:val="en-US"/>
        </w:rPr>
        <w:t xml:space="preserve"> You can </w:t>
      </w:r>
      <w:r w:rsidR="00AA0113">
        <w:rPr>
          <w:lang w:val="en-US"/>
        </w:rPr>
        <w:t>do the quiz either before or after the exercise, or right at the end of the session.</w:t>
      </w:r>
      <w:r w:rsidR="00AA7F7D" w:rsidRPr="005A4FD8">
        <w:rPr>
          <w:lang w:val="en-US"/>
        </w:rPr>
        <w:t xml:space="preserve"> However, if you have limited time available, </w:t>
      </w:r>
      <w:r w:rsidR="00034135" w:rsidRPr="005A4FD8">
        <w:rPr>
          <w:lang w:val="en-US"/>
        </w:rPr>
        <w:t xml:space="preserve">you can decide to use either the quiz or </w:t>
      </w:r>
      <w:r w:rsidR="007A34E1" w:rsidRPr="005A4FD8">
        <w:rPr>
          <w:lang w:val="en-US"/>
        </w:rPr>
        <w:t>th</w:t>
      </w:r>
      <w:r w:rsidR="00034135" w:rsidRPr="005A4FD8">
        <w:rPr>
          <w:lang w:val="en-US"/>
        </w:rPr>
        <w:t xml:space="preserve">e exercise at the end of the presentation. </w:t>
      </w:r>
      <w:r w:rsidR="00923643" w:rsidRPr="005A4FD8">
        <w:rPr>
          <w:lang w:val="en-US"/>
        </w:rPr>
        <w:t xml:space="preserve">The Trainer’s Guide provides further information on selecting </w:t>
      </w:r>
      <w:r w:rsidR="006C40F9" w:rsidRPr="005A4FD8">
        <w:rPr>
          <w:lang w:val="en-US"/>
        </w:rPr>
        <w:t xml:space="preserve">relevant learning material (section 2.3.1) and </w:t>
      </w:r>
      <w:r w:rsidR="00923643" w:rsidRPr="005A4FD8">
        <w:rPr>
          <w:lang w:val="en-US"/>
        </w:rPr>
        <w:t>assembling a session</w:t>
      </w:r>
      <w:r w:rsidR="006C40F9" w:rsidRPr="005A4FD8">
        <w:rPr>
          <w:lang w:val="en-US"/>
        </w:rPr>
        <w:t xml:space="preserve"> (section 2.3.2).</w:t>
      </w:r>
    </w:p>
    <w:p w14:paraId="735FF9D2" w14:textId="314062A5" w:rsidR="00F40890" w:rsidRDefault="00CB37A0" w:rsidP="00F40890">
      <w:pPr>
        <w:rPr>
          <w:lang w:val="en-US"/>
        </w:rPr>
      </w:pPr>
      <w:r w:rsidRPr="00F744E4">
        <w:rPr>
          <w:lang w:val="en-US"/>
        </w:rPr>
        <w:t>There are different ways of integrating the quiz questions into your presentation</w:t>
      </w:r>
      <w:r w:rsidR="00D5308F" w:rsidRPr="00F744E4">
        <w:rPr>
          <w:lang w:val="en-US"/>
        </w:rPr>
        <w:t>, d</w:t>
      </w:r>
      <w:r w:rsidRPr="00F744E4">
        <w:rPr>
          <w:lang w:val="en-US"/>
        </w:rPr>
        <w:t xml:space="preserve">epending on whether you want to use interactive software </w:t>
      </w:r>
      <w:r w:rsidR="00D5308F" w:rsidRPr="00F744E4">
        <w:rPr>
          <w:lang w:val="en-US"/>
        </w:rPr>
        <w:t xml:space="preserve">or manual methods. If you </w:t>
      </w:r>
      <w:r w:rsidR="006C40F9" w:rsidRPr="00F744E4">
        <w:rPr>
          <w:lang w:val="en-US"/>
        </w:rPr>
        <w:t xml:space="preserve">are planning to use </w:t>
      </w:r>
      <w:r w:rsidR="00415070" w:rsidRPr="00F744E4">
        <w:rPr>
          <w:lang w:val="en-US"/>
        </w:rPr>
        <w:t>manual methods such as colour-coded card</w:t>
      </w:r>
      <w:r w:rsidR="00543D27" w:rsidRPr="00F744E4">
        <w:rPr>
          <w:lang w:val="en-US"/>
        </w:rPr>
        <w:t>s</w:t>
      </w:r>
      <w:r w:rsidR="00415070" w:rsidRPr="00F744E4">
        <w:rPr>
          <w:lang w:val="en-US"/>
        </w:rPr>
        <w:t xml:space="preserve">, you can insert the PowerPoint slides into the existing presentation. If you are planning to use interactive software such as Mentimeter, </w:t>
      </w:r>
      <w:r w:rsidR="00780CBB" w:rsidRPr="00F744E4">
        <w:rPr>
          <w:lang w:val="en-US"/>
        </w:rPr>
        <w:t>you will need to set up the quiz online by copying an</w:t>
      </w:r>
      <w:r w:rsidR="00F40890" w:rsidRPr="00F744E4">
        <w:rPr>
          <w:lang w:val="en-US"/>
        </w:rPr>
        <w:t>d</w:t>
      </w:r>
      <w:r w:rsidR="00780CBB" w:rsidRPr="00F744E4">
        <w:rPr>
          <w:lang w:val="en-US"/>
        </w:rPr>
        <w:t xml:space="preserve"> pasting the </w:t>
      </w:r>
      <w:r w:rsidR="00F40890" w:rsidRPr="00F744E4">
        <w:rPr>
          <w:lang w:val="en-US"/>
        </w:rPr>
        <w:t xml:space="preserve">MCQs to the software. We suggest you consult the Trainers’ Guide (Section </w:t>
      </w:r>
      <w:r w:rsidR="00A0690A" w:rsidRPr="00F744E4">
        <w:rPr>
          <w:lang w:val="en-US"/>
        </w:rPr>
        <w:t xml:space="preserve">3.1) </w:t>
      </w:r>
      <w:r w:rsidR="00F40890" w:rsidRPr="00F744E4">
        <w:rPr>
          <w:lang w:val="en-US"/>
        </w:rPr>
        <w:t xml:space="preserve">for further </w:t>
      </w:r>
      <w:r w:rsidR="00543D27" w:rsidRPr="00F744E4">
        <w:rPr>
          <w:lang w:val="en-US"/>
        </w:rPr>
        <w:t xml:space="preserve">guidance on </w:t>
      </w:r>
      <w:r w:rsidR="00E82E98" w:rsidRPr="00F744E4">
        <w:rPr>
          <w:lang w:val="en-US"/>
        </w:rPr>
        <w:t>technological and non-technological methods for integrating a quiz.</w:t>
      </w:r>
      <w:r w:rsidR="00E82E98">
        <w:rPr>
          <w:lang w:val="en-US"/>
        </w:rPr>
        <w:t xml:space="preserve"> </w:t>
      </w:r>
    </w:p>
    <w:p w14:paraId="64ADD7F2" w14:textId="3F92654D" w:rsidR="00356B1F" w:rsidRDefault="00A85F24" w:rsidP="00A85F24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Discussion points</w:t>
      </w:r>
    </w:p>
    <w:p w14:paraId="032969FE" w14:textId="4ECD274B" w:rsidR="00A85F24" w:rsidRDefault="002A580B" w:rsidP="00A85F24">
      <w:pPr>
        <w:ind w:left="360"/>
        <w:rPr>
          <w:lang w:val="en-US"/>
        </w:rPr>
      </w:pPr>
      <w:r>
        <w:rPr>
          <w:lang w:val="en-US"/>
        </w:rPr>
        <w:t xml:space="preserve">It is important to note that this module </w:t>
      </w:r>
      <w:r w:rsidR="006B7E69">
        <w:rPr>
          <w:lang w:val="en-US"/>
        </w:rPr>
        <w:t>serves to introduce meta-analysis and forest plots. It therefore does not</w:t>
      </w:r>
      <w:r w:rsidR="00AC62FF">
        <w:rPr>
          <w:lang w:val="en-US"/>
        </w:rPr>
        <w:t xml:space="preserve"> cover interpretation of results, which is dealt with i</w:t>
      </w:r>
      <w:r w:rsidR="00A936AC">
        <w:rPr>
          <w:lang w:val="en-US"/>
        </w:rPr>
        <w:t>n another learning package. For example, we introduce 95% confidence intervals</w:t>
      </w:r>
      <w:r w:rsidR="00BC5E81">
        <w:rPr>
          <w:lang w:val="en-US"/>
        </w:rPr>
        <w:t xml:space="preserve"> (CIs)</w:t>
      </w:r>
      <w:r w:rsidR="00E2648E">
        <w:rPr>
          <w:lang w:val="en-US"/>
        </w:rPr>
        <w:t xml:space="preserve"> as they are a crucial part to reading forest plots,</w:t>
      </w:r>
      <w:r w:rsidR="00A936AC">
        <w:rPr>
          <w:lang w:val="en-US"/>
        </w:rPr>
        <w:t xml:space="preserve"> but only require participants to recognize whether these cross the line of no effect</w:t>
      </w:r>
      <w:r w:rsidR="00E2648E">
        <w:rPr>
          <w:lang w:val="en-US"/>
        </w:rPr>
        <w:t xml:space="preserve"> or not. Participants are therefore not required to interpret results and 95%CI. </w:t>
      </w:r>
    </w:p>
    <w:p w14:paraId="2F695352" w14:textId="12E13A5B" w:rsidR="00704964" w:rsidRDefault="00704964" w:rsidP="00A85F24">
      <w:pPr>
        <w:ind w:left="360"/>
        <w:rPr>
          <w:lang w:val="en-US"/>
        </w:rPr>
      </w:pPr>
      <w:r>
        <w:rPr>
          <w:lang w:val="en-US"/>
        </w:rPr>
        <w:t xml:space="preserve">In the presentation, we touch on statistical significance vs. clinical significance by </w:t>
      </w:r>
      <w:r w:rsidR="00946FD3">
        <w:rPr>
          <w:lang w:val="en-US"/>
        </w:rPr>
        <w:t>using an example of weight loss. This is usually an interesting discussion</w:t>
      </w:r>
      <w:r w:rsidR="00CE6ACB">
        <w:rPr>
          <w:lang w:val="en-US"/>
        </w:rPr>
        <w:t xml:space="preserve">, as people will have varying opinions about what </w:t>
      </w:r>
      <w:r w:rsidR="007A293C">
        <w:rPr>
          <w:lang w:val="en-US"/>
        </w:rPr>
        <w:t xml:space="preserve">a </w:t>
      </w:r>
      <w:r w:rsidR="00CE6ACB">
        <w:rPr>
          <w:lang w:val="en-US"/>
        </w:rPr>
        <w:t>clinically significant or meaningful</w:t>
      </w:r>
      <w:r w:rsidR="007A293C">
        <w:rPr>
          <w:lang w:val="en-US"/>
        </w:rPr>
        <w:t xml:space="preserve"> result should look like</w:t>
      </w:r>
      <w:r w:rsidR="00CE6ACB">
        <w:rPr>
          <w:lang w:val="en-US"/>
        </w:rPr>
        <w:t>. You can ask participants if they know of other examples</w:t>
      </w:r>
      <w:r w:rsidR="007A293C">
        <w:rPr>
          <w:lang w:val="en-US"/>
        </w:rPr>
        <w:t xml:space="preserve"> where this can be tricky</w:t>
      </w:r>
      <w:r w:rsidR="00CE6ACB">
        <w:rPr>
          <w:lang w:val="en-US"/>
        </w:rPr>
        <w:t xml:space="preserve"> e.g. change in blood pressure, change in pain</w:t>
      </w:r>
      <w:r w:rsidR="00F121AB">
        <w:rPr>
          <w:lang w:val="en-US"/>
        </w:rPr>
        <w:t xml:space="preserve"> scores etc. This is similar to the discussion on the minimally important difference, as mentioned in the learning package </w:t>
      </w:r>
      <w:r w:rsidR="00C824E8">
        <w:rPr>
          <w:lang w:val="en-US"/>
        </w:rPr>
        <w:t xml:space="preserve">“Dichotomous outcomes”. </w:t>
      </w:r>
      <w:r w:rsidR="004601A7">
        <w:rPr>
          <w:lang w:val="en-US"/>
        </w:rPr>
        <w:t xml:space="preserve">You can </w:t>
      </w:r>
      <w:r w:rsidR="00DA57F2">
        <w:rPr>
          <w:lang w:val="en-US"/>
        </w:rPr>
        <w:t xml:space="preserve">ask participants how to decide whether a result is </w:t>
      </w:r>
      <w:r w:rsidR="00B67056">
        <w:rPr>
          <w:lang w:val="en-US"/>
        </w:rPr>
        <w:t>clinically</w:t>
      </w:r>
      <w:r w:rsidR="00DA57F2">
        <w:rPr>
          <w:lang w:val="en-US"/>
        </w:rPr>
        <w:t xml:space="preserve"> meaningful or not</w:t>
      </w:r>
      <w:r w:rsidR="00B67056">
        <w:rPr>
          <w:lang w:val="en-US"/>
        </w:rPr>
        <w:t xml:space="preserve"> – by asking experts in the field, consulting literature</w:t>
      </w:r>
      <w:r w:rsidR="005638C8">
        <w:rPr>
          <w:lang w:val="en-US"/>
        </w:rPr>
        <w:t xml:space="preserve"> or </w:t>
      </w:r>
      <w:r w:rsidR="0057222F">
        <w:rPr>
          <w:lang w:val="en-US"/>
        </w:rPr>
        <w:t>asking consumers. The discussion will likely mirror discussions that a team of review authors will have, and it is good to point out that there is no right or wrong answer</w:t>
      </w:r>
      <w:r w:rsidR="00300A47">
        <w:rPr>
          <w:lang w:val="en-US"/>
        </w:rPr>
        <w:t xml:space="preserve">, but, when </w:t>
      </w:r>
      <w:r w:rsidR="00736E68">
        <w:rPr>
          <w:lang w:val="en-US"/>
        </w:rPr>
        <w:t>conducting</w:t>
      </w:r>
      <w:r w:rsidR="00300A47">
        <w:rPr>
          <w:lang w:val="en-US"/>
        </w:rPr>
        <w:t xml:space="preserve"> a review, authors need to be transparent on how they arrived at their conclusions. </w:t>
      </w:r>
    </w:p>
    <w:p w14:paraId="0706684C" w14:textId="00BE9EA9" w:rsidR="00300A47" w:rsidRPr="00A85F24" w:rsidRDefault="00300A47" w:rsidP="00A85F24">
      <w:pPr>
        <w:ind w:left="360"/>
        <w:rPr>
          <w:lang w:val="en-US"/>
        </w:rPr>
      </w:pPr>
      <w:r>
        <w:rPr>
          <w:lang w:val="en-US"/>
        </w:rPr>
        <w:t xml:space="preserve">We have not included any exercise on </w:t>
      </w:r>
      <w:r w:rsidR="00FB7D70">
        <w:rPr>
          <w:lang w:val="en-US"/>
        </w:rPr>
        <w:t xml:space="preserve">meta-analysis in RevMan in this learning package. </w:t>
      </w:r>
      <w:r w:rsidR="00345182">
        <w:rPr>
          <w:lang w:val="en-US"/>
        </w:rPr>
        <w:t xml:space="preserve">You can refer </w:t>
      </w:r>
      <w:r w:rsidR="003C0030">
        <w:rPr>
          <w:lang w:val="en-US"/>
        </w:rPr>
        <w:t xml:space="preserve">participants that are </w:t>
      </w:r>
      <w:r w:rsidR="00416B16">
        <w:rPr>
          <w:lang w:val="en-US"/>
        </w:rPr>
        <w:t xml:space="preserve">conducting Cochrane </w:t>
      </w:r>
      <w:r w:rsidR="008F2720">
        <w:rPr>
          <w:lang w:val="en-US"/>
        </w:rPr>
        <w:t>R</w:t>
      </w:r>
      <w:r w:rsidR="00416B16">
        <w:rPr>
          <w:lang w:val="en-US"/>
        </w:rPr>
        <w:t>eviews and wish to familiarize themselves with RevMan</w:t>
      </w:r>
      <w:r w:rsidR="000C151C">
        <w:rPr>
          <w:lang w:val="en-US"/>
        </w:rPr>
        <w:t xml:space="preserve">, </w:t>
      </w:r>
      <w:r w:rsidR="00345182">
        <w:rPr>
          <w:lang w:val="en-US"/>
        </w:rPr>
        <w:t>to the practice reviews in RevMan Web (</w:t>
      </w:r>
      <w:hyperlink r:id="rId6" w:history="1">
        <w:r w:rsidR="004475DE" w:rsidRPr="00387BDC">
          <w:rPr>
            <w:rStyle w:val="Hyperlink"/>
            <w:lang w:val="en-US"/>
          </w:rPr>
          <w:t>www.revman.cochrane.org</w:t>
        </w:r>
      </w:hyperlink>
      <w:r w:rsidR="004475DE">
        <w:rPr>
          <w:lang w:val="en-US"/>
        </w:rPr>
        <w:t>)</w:t>
      </w:r>
      <w:r w:rsidR="00B500A0">
        <w:rPr>
          <w:lang w:val="en-US"/>
        </w:rPr>
        <w:t xml:space="preserve">. Participants need to log in </w:t>
      </w:r>
      <w:r w:rsidR="004255DF">
        <w:rPr>
          <w:lang w:val="en-US"/>
        </w:rPr>
        <w:t xml:space="preserve">to RevMan Web </w:t>
      </w:r>
      <w:r w:rsidR="00B500A0">
        <w:rPr>
          <w:lang w:val="en-US"/>
        </w:rPr>
        <w:t>using their Archie account</w:t>
      </w:r>
      <w:r w:rsidR="004255DF">
        <w:rPr>
          <w:lang w:val="en-US"/>
        </w:rPr>
        <w:t xml:space="preserve">. Once logged in, participants can </w:t>
      </w:r>
      <w:r w:rsidR="000328EE">
        <w:rPr>
          <w:lang w:val="en-US"/>
        </w:rPr>
        <w:t xml:space="preserve">explore the “Practice reviews” to practice data entry and analysis in RevMan Web. </w:t>
      </w:r>
      <w:r w:rsidR="00A174D4">
        <w:rPr>
          <w:lang w:val="en-US"/>
        </w:rPr>
        <w:t xml:space="preserve">More information about RevMan is available at </w:t>
      </w:r>
      <w:hyperlink r:id="rId7" w:history="1">
        <w:r w:rsidR="00A174D4" w:rsidRPr="00B36875">
          <w:rPr>
            <w:rStyle w:val="Hyperlink"/>
            <w:lang w:val="en-US"/>
          </w:rPr>
          <w:t>https://training.cochrane.org/online-learning/core-software-cochrane-reviews/revman</w:t>
        </w:r>
      </w:hyperlink>
      <w:r w:rsidR="00A174D4">
        <w:rPr>
          <w:lang w:val="en-US"/>
        </w:rPr>
        <w:t>.</w:t>
      </w:r>
    </w:p>
    <w:sectPr w:rsidR="00300A47" w:rsidRPr="00A85F24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E4125"/>
    <w:multiLevelType w:val="hybridMultilevel"/>
    <w:tmpl w:val="ECE24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C17D5"/>
    <w:multiLevelType w:val="hybridMultilevel"/>
    <w:tmpl w:val="128871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53670"/>
    <w:multiLevelType w:val="hybridMultilevel"/>
    <w:tmpl w:val="667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F3D48"/>
    <w:multiLevelType w:val="hybridMultilevel"/>
    <w:tmpl w:val="6F28E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20553"/>
    <w:multiLevelType w:val="hybridMultilevel"/>
    <w:tmpl w:val="CEB22384"/>
    <w:lvl w:ilvl="0" w:tplc="D5D853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A49"/>
    <w:multiLevelType w:val="multilevel"/>
    <w:tmpl w:val="C10C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156774C"/>
    <w:multiLevelType w:val="hybridMultilevel"/>
    <w:tmpl w:val="6530596C"/>
    <w:lvl w:ilvl="0" w:tplc="9070AD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745"/>
    <w:multiLevelType w:val="hybridMultilevel"/>
    <w:tmpl w:val="1F78AD7E"/>
    <w:lvl w:ilvl="0" w:tplc="8D162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02C40"/>
    <w:multiLevelType w:val="hybridMultilevel"/>
    <w:tmpl w:val="D95A0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12EA3"/>
    <w:rsid w:val="000328EE"/>
    <w:rsid w:val="00034135"/>
    <w:rsid w:val="00045D87"/>
    <w:rsid w:val="000546DE"/>
    <w:rsid w:val="00055E72"/>
    <w:rsid w:val="000569C0"/>
    <w:rsid w:val="00064F3D"/>
    <w:rsid w:val="000669B7"/>
    <w:rsid w:val="00071723"/>
    <w:rsid w:val="00076915"/>
    <w:rsid w:val="00096BE3"/>
    <w:rsid w:val="000B5FD4"/>
    <w:rsid w:val="000C151C"/>
    <w:rsid w:val="000E5B70"/>
    <w:rsid w:val="00105319"/>
    <w:rsid w:val="001110AA"/>
    <w:rsid w:val="001247C1"/>
    <w:rsid w:val="00132802"/>
    <w:rsid w:val="00132EC4"/>
    <w:rsid w:val="00162B88"/>
    <w:rsid w:val="001A2443"/>
    <w:rsid w:val="001F393D"/>
    <w:rsid w:val="00202B18"/>
    <w:rsid w:val="00211667"/>
    <w:rsid w:val="00227120"/>
    <w:rsid w:val="00230FE9"/>
    <w:rsid w:val="002348F5"/>
    <w:rsid w:val="00241063"/>
    <w:rsid w:val="002441F2"/>
    <w:rsid w:val="002500F5"/>
    <w:rsid w:val="00281E80"/>
    <w:rsid w:val="002953D1"/>
    <w:rsid w:val="002A2D7D"/>
    <w:rsid w:val="002A580B"/>
    <w:rsid w:val="002A7207"/>
    <w:rsid w:val="002B4FCB"/>
    <w:rsid w:val="002C4E62"/>
    <w:rsid w:val="002D4C40"/>
    <w:rsid w:val="002F2AC3"/>
    <w:rsid w:val="00300A47"/>
    <w:rsid w:val="003046EB"/>
    <w:rsid w:val="003100CC"/>
    <w:rsid w:val="00345182"/>
    <w:rsid w:val="00355F45"/>
    <w:rsid w:val="00356B1F"/>
    <w:rsid w:val="00360668"/>
    <w:rsid w:val="00376ECB"/>
    <w:rsid w:val="00380BF2"/>
    <w:rsid w:val="0038481A"/>
    <w:rsid w:val="0039045A"/>
    <w:rsid w:val="003C0030"/>
    <w:rsid w:val="003C0DE5"/>
    <w:rsid w:val="003D6E75"/>
    <w:rsid w:val="003E0632"/>
    <w:rsid w:val="003E0F1A"/>
    <w:rsid w:val="00415070"/>
    <w:rsid w:val="00416B16"/>
    <w:rsid w:val="0042543B"/>
    <w:rsid w:val="004255DF"/>
    <w:rsid w:val="00432279"/>
    <w:rsid w:val="00434BFF"/>
    <w:rsid w:val="004475DE"/>
    <w:rsid w:val="00450352"/>
    <w:rsid w:val="004601A7"/>
    <w:rsid w:val="0046650C"/>
    <w:rsid w:val="004A13AA"/>
    <w:rsid w:val="004A2A26"/>
    <w:rsid w:val="004D0402"/>
    <w:rsid w:val="004D156B"/>
    <w:rsid w:val="004F7FF9"/>
    <w:rsid w:val="00500C9B"/>
    <w:rsid w:val="0050775E"/>
    <w:rsid w:val="005312C1"/>
    <w:rsid w:val="00535405"/>
    <w:rsid w:val="00543D27"/>
    <w:rsid w:val="00561003"/>
    <w:rsid w:val="005638C8"/>
    <w:rsid w:val="0057222F"/>
    <w:rsid w:val="005A4FD8"/>
    <w:rsid w:val="005A6335"/>
    <w:rsid w:val="005B7395"/>
    <w:rsid w:val="005C317B"/>
    <w:rsid w:val="005E3814"/>
    <w:rsid w:val="005E7A87"/>
    <w:rsid w:val="005F692F"/>
    <w:rsid w:val="00606312"/>
    <w:rsid w:val="00613415"/>
    <w:rsid w:val="006322AA"/>
    <w:rsid w:val="00644C5B"/>
    <w:rsid w:val="00657D8E"/>
    <w:rsid w:val="0066134A"/>
    <w:rsid w:val="00674CEA"/>
    <w:rsid w:val="00676E3A"/>
    <w:rsid w:val="006875C3"/>
    <w:rsid w:val="006936EE"/>
    <w:rsid w:val="006B0977"/>
    <w:rsid w:val="006B7E69"/>
    <w:rsid w:val="006C3100"/>
    <w:rsid w:val="006C40F9"/>
    <w:rsid w:val="006C7464"/>
    <w:rsid w:val="006D3389"/>
    <w:rsid w:val="00703813"/>
    <w:rsid w:val="00704964"/>
    <w:rsid w:val="00707904"/>
    <w:rsid w:val="00733415"/>
    <w:rsid w:val="00736E68"/>
    <w:rsid w:val="00744A91"/>
    <w:rsid w:val="00745D42"/>
    <w:rsid w:val="00747399"/>
    <w:rsid w:val="00774806"/>
    <w:rsid w:val="0077720C"/>
    <w:rsid w:val="00780CBB"/>
    <w:rsid w:val="007A0D09"/>
    <w:rsid w:val="007A293C"/>
    <w:rsid w:val="007A34E1"/>
    <w:rsid w:val="007A4C41"/>
    <w:rsid w:val="007C4296"/>
    <w:rsid w:val="007D384C"/>
    <w:rsid w:val="007E25B3"/>
    <w:rsid w:val="007E3E14"/>
    <w:rsid w:val="007E6039"/>
    <w:rsid w:val="007F3481"/>
    <w:rsid w:val="00802D0E"/>
    <w:rsid w:val="0080395F"/>
    <w:rsid w:val="008146DE"/>
    <w:rsid w:val="0082027A"/>
    <w:rsid w:val="00823F3D"/>
    <w:rsid w:val="00830A1A"/>
    <w:rsid w:val="00851BB7"/>
    <w:rsid w:val="008548EA"/>
    <w:rsid w:val="008603E7"/>
    <w:rsid w:val="0086392B"/>
    <w:rsid w:val="00870116"/>
    <w:rsid w:val="00885DB6"/>
    <w:rsid w:val="008A2E1E"/>
    <w:rsid w:val="008A5ED4"/>
    <w:rsid w:val="008B749B"/>
    <w:rsid w:val="008D0BE6"/>
    <w:rsid w:val="008D7C9D"/>
    <w:rsid w:val="008F2720"/>
    <w:rsid w:val="008F605C"/>
    <w:rsid w:val="00923643"/>
    <w:rsid w:val="009338CD"/>
    <w:rsid w:val="009442BC"/>
    <w:rsid w:val="00945811"/>
    <w:rsid w:val="00946FD3"/>
    <w:rsid w:val="00992E76"/>
    <w:rsid w:val="00995120"/>
    <w:rsid w:val="009A0547"/>
    <w:rsid w:val="009A262C"/>
    <w:rsid w:val="009A28C8"/>
    <w:rsid w:val="009A4E17"/>
    <w:rsid w:val="009C69A2"/>
    <w:rsid w:val="00A0690A"/>
    <w:rsid w:val="00A174D4"/>
    <w:rsid w:val="00A57C12"/>
    <w:rsid w:val="00A752D8"/>
    <w:rsid w:val="00A827F5"/>
    <w:rsid w:val="00A85F24"/>
    <w:rsid w:val="00A9305A"/>
    <w:rsid w:val="00A936AC"/>
    <w:rsid w:val="00AA0113"/>
    <w:rsid w:val="00AA7F7D"/>
    <w:rsid w:val="00AC62FF"/>
    <w:rsid w:val="00AD092C"/>
    <w:rsid w:val="00AE5D75"/>
    <w:rsid w:val="00AF707D"/>
    <w:rsid w:val="00B13795"/>
    <w:rsid w:val="00B500A0"/>
    <w:rsid w:val="00B67056"/>
    <w:rsid w:val="00BA4CAC"/>
    <w:rsid w:val="00BC1C4C"/>
    <w:rsid w:val="00BC5E81"/>
    <w:rsid w:val="00BC6B1B"/>
    <w:rsid w:val="00BD69E8"/>
    <w:rsid w:val="00BE5011"/>
    <w:rsid w:val="00C16FFC"/>
    <w:rsid w:val="00C2231F"/>
    <w:rsid w:val="00C23FAA"/>
    <w:rsid w:val="00C51A4E"/>
    <w:rsid w:val="00C535D8"/>
    <w:rsid w:val="00C57224"/>
    <w:rsid w:val="00C61ABA"/>
    <w:rsid w:val="00C62254"/>
    <w:rsid w:val="00C66EB9"/>
    <w:rsid w:val="00C70314"/>
    <w:rsid w:val="00C76866"/>
    <w:rsid w:val="00C824E8"/>
    <w:rsid w:val="00CA69CC"/>
    <w:rsid w:val="00CB37A0"/>
    <w:rsid w:val="00CC2CE8"/>
    <w:rsid w:val="00CC4E30"/>
    <w:rsid w:val="00CE6ACB"/>
    <w:rsid w:val="00D10785"/>
    <w:rsid w:val="00D5308F"/>
    <w:rsid w:val="00D63550"/>
    <w:rsid w:val="00D730AD"/>
    <w:rsid w:val="00D8272F"/>
    <w:rsid w:val="00DA57F2"/>
    <w:rsid w:val="00DA79C9"/>
    <w:rsid w:val="00DB3DF5"/>
    <w:rsid w:val="00DB5F08"/>
    <w:rsid w:val="00DE59DC"/>
    <w:rsid w:val="00E13DA6"/>
    <w:rsid w:val="00E2545A"/>
    <w:rsid w:val="00E2648E"/>
    <w:rsid w:val="00E326AB"/>
    <w:rsid w:val="00E66892"/>
    <w:rsid w:val="00E82E98"/>
    <w:rsid w:val="00EE13CA"/>
    <w:rsid w:val="00EE5493"/>
    <w:rsid w:val="00EF5260"/>
    <w:rsid w:val="00F121AB"/>
    <w:rsid w:val="00F12651"/>
    <w:rsid w:val="00F40890"/>
    <w:rsid w:val="00F46A3F"/>
    <w:rsid w:val="00F574CD"/>
    <w:rsid w:val="00F744E4"/>
    <w:rsid w:val="00F904BC"/>
    <w:rsid w:val="00F91682"/>
    <w:rsid w:val="00F93322"/>
    <w:rsid w:val="00FA6A01"/>
    <w:rsid w:val="00FB3782"/>
    <w:rsid w:val="00FB4790"/>
    <w:rsid w:val="00FB7D70"/>
    <w:rsid w:val="00FB7F08"/>
    <w:rsid w:val="00FC55CF"/>
    <w:rsid w:val="00FC60CD"/>
    <w:rsid w:val="00FC691F"/>
    <w:rsid w:val="00FE6385"/>
    <w:rsid w:val="00FE6711"/>
    <w:rsid w:val="00FE71C9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3069"/>
  <w15:chartTrackingRefBased/>
  <w15:docId w15:val="{57C40AB6-A59D-442B-8969-4C1FB02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C69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5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aining.cochrane.org/online-learning/core-software-cochrane-reviews/revm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vman.cochran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8C54-CC78-42BF-A159-2282679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 Sambunjak</cp:lastModifiedBy>
  <cp:revision>53</cp:revision>
  <dcterms:created xsi:type="dcterms:W3CDTF">2021-01-21T11:51:00Z</dcterms:created>
  <dcterms:modified xsi:type="dcterms:W3CDTF">2021-03-22T13:37:00Z</dcterms:modified>
</cp:coreProperties>
</file>