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4C9BAF67" w:rsidR="008E0C4C" w:rsidRDefault="008E0C4C" w:rsidP="008E0C4C">
      <w:pPr>
        <w:pStyle w:val="Heading1"/>
      </w:pPr>
      <w:r>
        <w:t>Worksheet</w:t>
      </w:r>
      <w:r w:rsidRPr="008E0C4C">
        <w:t xml:space="preserve">: </w:t>
      </w:r>
      <w:r w:rsidR="006B230E">
        <w:t>D</w:t>
      </w:r>
      <w:bookmarkStart w:id="0" w:name="_GoBack"/>
      <w:bookmarkEnd w:id="0"/>
      <w:r>
        <w:t>ichotomous data</w:t>
      </w:r>
    </w:p>
    <w:p w14:paraId="560CF6E5" w14:textId="0CFC6443" w:rsidR="008E0C4C" w:rsidRPr="003737B6" w:rsidRDefault="008E0C4C" w:rsidP="00A5317F">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68F37767" w14:textId="77777777" w:rsidR="00C14CC3" w:rsidRPr="00A5317F" w:rsidRDefault="00C14CC3" w:rsidP="00C14CC3">
            <w:pPr>
              <w:spacing w:before="100" w:beforeAutospacing="1" w:after="100" w:afterAutospacing="1"/>
              <w:outlineLvl w:val="0"/>
              <w:rPr>
                <w:rFonts w:eastAsia="Times New Roman" w:cstheme="minorHAnsi"/>
                <w:b/>
                <w:bCs/>
                <w:kern w:val="36"/>
                <w:sz w:val="24"/>
                <w:lang w:eastAsia="en-ZA"/>
              </w:rPr>
            </w:pPr>
            <w:r w:rsidRPr="00A5317F">
              <w:rPr>
                <w:rFonts w:eastAsia="Times New Roman" w:cstheme="minorHAnsi"/>
                <w:b/>
                <w:bCs/>
                <w:kern w:val="36"/>
                <w:sz w:val="24"/>
                <w:lang w:eastAsia="en-ZA"/>
              </w:rPr>
              <w:t xml:space="preserve">Effect of Oral Dexamethasone Without Immediate Antibiotics vs Placebo on Acute Sore Throat in Adults: A Randomized Clinical Trial </w:t>
            </w:r>
          </w:p>
          <w:p w14:paraId="5F3899AF" w14:textId="0E188C47" w:rsidR="00C14CC3" w:rsidRPr="00A5317F" w:rsidRDefault="006327F5" w:rsidP="00C14CC3">
            <w:pPr>
              <w:rPr>
                <w:rFonts w:eastAsia="Times New Roman" w:cstheme="minorHAnsi"/>
                <w:sz w:val="24"/>
                <w:lang w:eastAsia="en-ZA"/>
              </w:rPr>
            </w:pPr>
            <w:hyperlink r:id="rId11" w:history="1">
              <w:r w:rsidR="00C14CC3" w:rsidRPr="00A5317F">
                <w:rPr>
                  <w:rFonts w:eastAsia="Times New Roman" w:cstheme="minorHAnsi"/>
                  <w:sz w:val="24"/>
                  <w:lang w:eastAsia="en-ZA"/>
                </w:rPr>
                <w:t>Gail Nicola Hayward</w:t>
              </w:r>
            </w:hyperlink>
            <w:r w:rsidR="00C14CC3" w:rsidRPr="00A5317F">
              <w:rPr>
                <w:rFonts w:eastAsia="Times New Roman" w:cstheme="minorHAnsi"/>
                <w:sz w:val="24"/>
                <w:lang w:eastAsia="en-ZA"/>
              </w:rPr>
              <w:t>, </w:t>
            </w:r>
            <w:hyperlink r:id="rId12" w:history="1">
              <w:r w:rsidR="00C14CC3" w:rsidRPr="00A5317F">
                <w:rPr>
                  <w:rFonts w:eastAsia="Times New Roman" w:cstheme="minorHAnsi"/>
                  <w:sz w:val="24"/>
                  <w:lang w:eastAsia="en-ZA"/>
                </w:rPr>
                <w:t>Alastair D Hay</w:t>
              </w:r>
            </w:hyperlink>
            <w:r w:rsidR="00C14CC3" w:rsidRPr="00A5317F">
              <w:rPr>
                <w:rFonts w:eastAsia="Times New Roman" w:cstheme="minorHAnsi"/>
                <w:sz w:val="24"/>
                <w:lang w:eastAsia="en-ZA"/>
              </w:rPr>
              <w:t>, </w:t>
            </w:r>
            <w:hyperlink r:id="rId13" w:history="1">
              <w:r w:rsidR="00C14CC3" w:rsidRPr="00A5317F">
                <w:rPr>
                  <w:rFonts w:eastAsia="Times New Roman" w:cstheme="minorHAnsi"/>
                  <w:sz w:val="24"/>
                  <w:lang w:eastAsia="en-ZA"/>
                </w:rPr>
                <w:t>Michael V Moore</w:t>
              </w:r>
            </w:hyperlink>
            <w:r w:rsidR="00C14CC3" w:rsidRPr="00A5317F">
              <w:rPr>
                <w:rFonts w:eastAsia="Times New Roman" w:cstheme="minorHAnsi"/>
                <w:sz w:val="24"/>
                <w:lang w:eastAsia="en-ZA"/>
              </w:rPr>
              <w:t>, </w:t>
            </w:r>
            <w:hyperlink r:id="rId14" w:history="1">
              <w:r w:rsidR="00C14CC3" w:rsidRPr="00A5317F">
                <w:rPr>
                  <w:rFonts w:eastAsia="Times New Roman" w:cstheme="minorHAnsi"/>
                  <w:sz w:val="24"/>
                  <w:lang w:eastAsia="en-ZA"/>
                </w:rPr>
                <w:t>Sena Jawad</w:t>
              </w:r>
            </w:hyperlink>
            <w:r w:rsidR="00C14CC3" w:rsidRPr="00A5317F">
              <w:rPr>
                <w:rFonts w:eastAsia="Times New Roman" w:cstheme="minorHAnsi"/>
                <w:sz w:val="24"/>
                <w:lang w:eastAsia="en-ZA"/>
              </w:rPr>
              <w:t>, </w:t>
            </w:r>
            <w:hyperlink r:id="rId15" w:history="1">
              <w:r w:rsidR="00C14CC3" w:rsidRPr="00A5317F">
                <w:rPr>
                  <w:rFonts w:eastAsia="Times New Roman" w:cstheme="minorHAnsi"/>
                  <w:sz w:val="24"/>
                  <w:lang w:eastAsia="en-ZA"/>
                </w:rPr>
                <w:t>Nicola Williams</w:t>
              </w:r>
            </w:hyperlink>
            <w:r w:rsidR="00C14CC3" w:rsidRPr="00A5317F">
              <w:rPr>
                <w:rFonts w:eastAsia="Times New Roman" w:cstheme="minorHAnsi"/>
                <w:sz w:val="24"/>
                <w:lang w:eastAsia="en-ZA"/>
              </w:rPr>
              <w:t>, </w:t>
            </w:r>
            <w:hyperlink r:id="rId16" w:history="1">
              <w:r w:rsidR="00C14CC3" w:rsidRPr="00A5317F">
                <w:rPr>
                  <w:rFonts w:eastAsia="Times New Roman" w:cstheme="minorHAnsi"/>
                  <w:sz w:val="24"/>
                  <w:lang w:eastAsia="en-ZA"/>
                </w:rPr>
                <w:t>Merryn Voysey</w:t>
              </w:r>
            </w:hyperlink>
            <w:r w:rsidR="00C14CC3" w:rsidRPr="00A5317F">
              <w:rPr>
                <w:rFonts w:eastAsia="Times New Roman" w:cstheme="minorHAnsi"/>
                <w:sz w:val="24"/>
                <w:lang w:eastAsia="en-ZA"/>
              </w:rPr>
              <w:t>, </w:t>
            </w:r>
            <w:hyperlink r:id="rId17" w:history="1">
              <w:r w:rsidR="00C14CC3" w:rsidRPr="00A5317F">
                <w:rPr>
                  <w:rFonts w:eastAsia="Times New Roman" w:cstheme="minorHAnsi"/>
                  <w:sz w:val="24"/>
                  <w:lang w:eastAsia="en-ZA"/>
                </w:rPr>
                <w:t>Johanna Cook</w:t>
              </w:r>
            </w:hyperlink>
            <w:r w:rsidR="00C14CC3" w:rsidRPr="00A5317F">
              <w:rPr>
                <w:rFonts w:eastAsia="Times New Roman" w:cstheme="minorHAnsi"/>
                <w:sz w:val="24"/>
                <w:lang w:eastAsia="en-ZA"/>
              </w:rPr>
              <w:t>, </w:t>
            </w:r>
            <w:hyperlink r:id="rId18" w:history="1">
              <w:r w:rsidR="00C14CC3" w:rsidRPr="00A5317F">
                <w:rPr>
                  <w:rFonts w:eastAsia="Times New Roman" w:cstheme="minorHAnsi"/>
                  <w:sz w:val="24"/>
                  <w:lang w:eastAsia="en-ZA"/>
                </w:rPr>
                <w:t>Julie Allen</w:t>
              </w:r>
            </w:hyperlink>
            <w:r w:rsidR="00C14CC3" w:rsidRPr="00A5317F">
              <w:rPr>
                <w:rFonts w:eastAsia="Times New Roman" w:cstheme="minorHAnsi"/>
                <w:sz w:val="24"/>
                <w:lang w:eastAsia="en-ZA"/>
              </w:rPr>
              <w:t>, </w:t>
            </w:r>
            <w:hyperlink r:id="rId19" w:history="1">
              <w:r w:rsidR="00C14CC3" w:rsidRPr="00A5317F">
                <w:rPr>
                  <w:rFonts w:eastAsia="Times New Roman" w:cstheme="minorHAnsi"/>
                  <w:sz w:val="24"/>
                  <w:lang w:eastAsia="en-ZA"/>
                </w:rPr>
                <w:t>Matthew Thompson</w:t>
              </w:r>
            </w:hyperlink>
            <w:r w:rsidR="00C14CC3" w:rsidRPr="00A5317F">
              <w:rPr>
                <w:rFonts w:eastAsia="Times New Roman" w:cstheme="minorHAnsi"/>
                <w:sz w:val="24"/>
                <w:lang w:eastAsia="en-ZA"/>
              </w:rPr>
              <w:t>, </w:t>
            </w:r>
            <w:hyperlink r:id="rId20" w:history="1">
              <w:r w:rsidR="00C14CC3" w:rsidRPr="00A5317F">
                <w:rPr>
                  <w:rFonts w:eastAsia="Times New Roman" w:cstheme="minorHAnsi"/>
                  <w:sz w:val="24"/>
                  <w:lang w:eastAsia="en-ZA"/>
                </w:rPr>
                <w:t>Paul Little</w:t>
              </w:r>
            </w:hyperlink>
            <w:r w:rsidR="00C14CC3" w:rsidRPr="00A5317F">
              <w:rPr>
                <w:rFonts w:eastAsia="Times New Roman" w:cstheme="minorHAnsi"/>
                <w:sz w:val="24"/>
                <w:lang w:eastAsia="en-ZA"/>
              </w:rPr>
              <w:t>, </w:t>
            </w:r>
            <w:hyperlink r:id="rId21" w:history="1">
              <w:r w:rsidR="00C14CC3" w:rsidRPr="00A5317F">
                <w:rPr>
                  <w:rFonts w:eastAsia="Times New Roman" w:cstheme="minorHAnsi"/>
                  <w:sz w:val="24"/>
                  <w:lang w:eastAsia="en-ZA"/>
                </w:rPr>
                <w:t>Rafael Perera</w:t>
              </w:r>
            </w:hyperlink>
            <w:r w:rsidR="00C14CC3" w:rsidRPr="00A5317F">
              <w:rPr>
                <w:rFonts w:eastAsia="Times New Roman" w:cstheme="minorHAnsi"/>
                <w:sz w:val="24"/>
                <w:lang w:eastAsia="en-ZA"/>
              </w:rPr>
              <w:t>, </w:t>
            </w:r>
            <w:hyperlink r:id="rId22" w:history="1">
              <w:r w:rsidR="00C14CC3" w:rsidRPr="00A5317F">
                <w:rPr>
                  <w:rFonts w:eastAsia="Times New Roman" w:cstheme="minorHAnsi"/>
                  <w:sz w:val="24"/>
                  <w:lang w:eastAsia="en-ZA"/>
                </w:rPr>
                <w:t>Jane Wolstenholme</w:t>
              </w:r>
            </w:hyperlink>
            <w:r w:rsidR="00C14CC3" w:rsidRPr="00A5317F">
              <w:rPr>
                <w:rFonts w:eastAsia="Times New Roman" w:cstheme="minorHAnsi"/>
                <w:sz w:val="24"/>
                <w:lang w:eastAsia="en-ZA"/>
              </w:rPr>
              <w:t>, </w:t>
            </w:r>
            <w:hyperlink r:id="rId23" w:history="1">
              <w:r w:rsidR="00C14CC3" w:rsidRPr="00A5317F">
                <w:rPr>
                  <w:rFonts w:eastAsia="Times New Roman" w:cstheme="minorHAnsi"/>
                  <w:sz w:val="24"/>
                  <w:lang w:eastAsia="en-ZA"/>
                </w:rPr>
                <w:t>Kim Harman</w:t>
              </w:r>
            </w:hyperlink>
            <w:r w:rsidR="00C14CC3" w:rsidRPr="00A5317F">
              <w:rPr>
                <w:rFonts w:eastAsia="Times New Roman" w:cstheme="minorHAnsi"/>
                <w:sz w:val="24"/>
                <w:lang w:eastAsia="en-ZA"/>
              </w:rPr>
              <w:t>, </w:t>
            </w:r>
            <w:hyperlink r:id="rId24" w:history="1">
              <w:r w:rsidR="00C14CC3" w:rsidRPr="00A5317F">
                <w:rPr>
                  <w:rFonts w:eastAsia="Times New Roman" w:cstheme="minorHAnsi"/>
                  <w:sz w:val="24"/>
                  <w:lang w:eastAsia="en-ZA"/>
                </w:rPr>
                <w:t>Carl Heneghan</w:t>
              </w:r>
            </w:hyperlink>
          </w:p>
          <w:p w14:paraId="3895E0B4" w14:textId="77777777" w:rsidR="00C14CC3" w:rsidRPr="00A5317F" w:rsidRDefault="00C14CC3" w:rsidP="00C14CC3">
            <w:pPr>
              <w:rPr>
                <w:rFonts w:eastAsia="Times New Roman" w:cstheme="minorHAnsi"/>
                <w:sz w:val="24"/>
                <w:lang w:eastAsia="en-ZA"/>
              </w:rPr>
            </w:pPr>
          </w:p>
          <w:p w14:paraId="0EEF5D18" w14:textId="292F756C" w:rsidR="00C14CC3" w:rsidRPr="00A5317F" w:rsidRDefault="00A5317F" w:rsidP="00C14CC3">
            <w:pPr>
              <w:rPr>
                <w:rFonts w:eastAsia="Times New Roman" w:cstheme="minorHAnsi"/>
                <w:i/>
                <w:sz w:val="24"/>
                <w:lang w:eastAsia="en-ZA"/>
              </w:rPr>
            </w:pPr>
            <w:r w:rsidRPr="00A5317F">
              <w:rPr>
                <w:rFonts w:eastAsia="Times New Roman" w:cstheme="minorHAnsi"/>
                <w:i/>
                <w:sz w:val="24"/>
                <w:lang w:eastAsia="en-ZA"/>
              </w:rPr>
              <w:t>JAMA</w:t>
            </w:r>
            <w:r w:rsidR="00C14CC3" w:rsidRPr="00A5317F">
              <w:rPr>
                <w:rFonts w:eastAsia="Times New Roman" w:cstheme="minorHAnsi"/>
                <w:i/>
                <w:sz w:val="24"/>
                <w:lang w:eastAsia="en-ZA"/>
              </w:rPr>
              <w:t xml:space="preserve">. 2017 Apr 18;317(15):1535-1543. doi: 10.1001/jama.2017.3417. </w:t>
            </w:r>
          </w:p>
          <w:p w14:paraId="0FD312A6" w14:textId="77777777" w:rsidR="00C14CC3" w:rsidRPr="00A5317F" w:rsidRDefault="00C14CC3" w:rsidP="00A5317F">
            <w:pPr>
              <w:spacing w:before="100" w:beforeAutospacing="1"/>
              <w:rPr>
                <w:rFonts w:eastAsia="Times New Roman" w:cstheme="minorHAnsi"/>
                <w:sz w:val="24"/>
                <w:lang w:eastAsia="en-ZA"/>
              </w:rPr>
            </w:pPr>
            <w:r w:rsidRPr="00A5317F">
              <w:rPr>
                <w:rFonts w:eastAsia="Times New Roman" w:cstheme="minorHAnsi"/>
                <w:b/>
                <w:bCs/>
                <w:sz w:val="24"/>
                <w:lang w:eastAsia="en-ZA"/>
              </w:rPr>
              <w:t xml:space="preserve">Importance: </w:t>
            </w:r>
            <w:r w:rsidRPr="00A5317F">
              <w:rPr>
                <w:rFonts w:eastAsia="Times New Roman" w:cstheme="minorHAnsi"/>
                <w:sz w:val="24"/>
                <w:lang w:eastAsia="en-ZA"/>
              </w:rPr>
              <w:t xml:space="preserve">Acute sore throat poses a significant burden on primary care and is a source of inappropriate antibiotic prescribing. Corticosteroids could be an alternative symptomatic treatment. </w:t>
            </w:r>
          </w:p>
          <w:p w14:paraId="2F7F353C" w14:textId="77777777"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Objective: </w:t>
            </w:r>
            <w:r w:rsidRPr="00A5317F">
              <w:rPr>
                <w:rFonts w:eastAsia="Times New Roman" w:cstheme="minorHAnsi"/>
                <w:sz w:val="24"/>
                <w:lang w:eastAsia="en-ZA"/>
              </w:rPr>
              <w:t xml:space="preserve">To assess the clinical effectiveness of oral corticosteroids for acute sore throat in the absence of antibiotics. </w:t>
            </w:r>
          </w:p>
          <w:p w14:paraId="3E2A0AD9" w14:textId="77777777"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Design, setting, and participants: </w:t>
            </w:r>
            <w:r w:rsidRPr="00A5317F">
              <w:rPr>
                <w:rFonts w:eastAsia="Times New Roman" w:cstheme="minorHAnsi"/>
                <w:sz w:val="24"/>
                <w:lang w:eastAsia="en-ZA"/>
              </w:rPr>
              <w:t xml:space="preserve">Double-blind, placebo-controlled randomized trial (April 2013-February 2015; 28-day follow-up completed April 2015) conducted in 42 family practices in South and West England, enrolled 576 adults recruited on the day of presentation to primary care with acute sore throat not requiring immediate antibiotic therapy. </w:t>
            </w:r>
          </w:p>
          <w:p w14:paraId="6DEF0EAE" w14:textId="77777777"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Interventions: </w:t>
            </w:r>
            <w:r w:rsidRPr="00A5317F">
              <w:rPr>
                <w:rFonts w:eastAsia="Times New Roman" w:cstheme="minorHAnsi"/>
                <w:sz w:val="24"/>
                <w:lang w:eastAsia="en-ZA"/>
              </w:rPr>
              <w:t xml:space="preserve">Single oral dose of 10 mg of dexamethasone (n = 293) or identical placebo (n = 283). </w:t>
            </w:r>
          </w:p>
          <w:p w14:paraId="0CD77210" w14:textId="77777777" w:rsid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Main outcomes and measures: </w:t>
            </w:r>
            <w:r w:rsidRPr="00A5317F">
              <w:rPr>
                <w:rFonts w:eastAsia="Times New Roman" w:cstheme="minorHAnsi"/>
                <w:sz w:val="24"/>
                <w:lang w:eastAsia="en-ZA"/>
              </w:rPr>
              <w:t xml:space="preserve">Primary: proportion of participants experiencing complete resolution of symptoms at 24 hours. Secondary: complete resolution at 48 hours, duration of moderately bad symptoms (based on a Likert scale, 0, normal; 6, as bad as it could be), visual analog symptom scales (0-100 mm; 0, no symptom to 100, worst imaginable), health care attendance, days missed from work or education, consumption of delayed antibiotics or other medications, adverse events. </w:t>
            </w:r>
          </w:p>
          <w:p w14:paraId="03BE698E" w14:textId="1182B9AB"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Results: </w:t>
            </w:r>
            <w:r w:rsidRPr="00A5317F">
              <w:rPr>
                <w:rFonts w:eastAsia="Times New Roman" w:cstheme="minorHAnsi"/>
                <w:sz w:val="24"/>
                <w:lang w:eastAsia="en-ZA"/>
              </w:rPr>
              <w:t xml:space="preserve">Among 565 eligible participants who were randomized (median age, 34 years [interquartile range, 26.0-45.5 year]; 75.2% women; 100% completed the intervention), 288 received dexamethasone; 277, placebo. At 24 hours, 65 participants in </w:t>
            </w:r>
            <w:r w:rsidR="009239AF">
              <w:rPr>
                <w:rFonts w:eastAsia="Times New Roman" w:cstheme="minorHAnsi"/>
                <w:sz w:val="24"/>
                <w:lang w:eastAsia="en-ZA"/>
              </w:rPr>
              <w:t xml:space="preserve">the dexamethasone group and 49 </w:t>
            </w:r>
            <w:r w:rsidRPr="00A5317F">
              <w:rPr>
                <w:rFonts w:eastAsia="Times New Roman" w:cstheme="minorHAnsi"/>
                <w:sz w:val="24"/>
                <w:lang w:eastAsia="en-ZA"/>
              </w:rPr>
              <w:t xml:space="preserve">in the placebo group achieved complete resolution of symptoms. At 48 hours, 102 participants in the dexamethasone group vs 75 in the placebo group achieved complete resolution of symptoms. This difference also was observed in participants not offered delayed antibiotic prescription, in 65 of 173 patients in the dexamethasone group and 46 of 169 patients in the placebo group. There were no significant differences in any other secondary outcomes. </w:t>
            </w:r>
          </w:p>
          <w:p w14:paraId="3AE414C0" w14:textId="77777777" w:rsidR="00C14CC3" w:rsidRPr="00A5317F" w:rsidRDefault="00C14CC3" w:rsidP="00A5317F">
            <w:pPr>
              <w:spacing w:after="100" w:afterAutospacing="1"/>
              <w:rPr>
                <w:rFonts w:eastAsia="Times New Roman" w:cstheme="minorHAnsi"/>
                <w:sz w:val="24"/>
                <w:lang w:eastAsia="en-ZA"/>
              </w:rPr>
            </w:pPr>
            <w:r w:rsidRPr="00A5317F">
              <w:rPr>
                <w:rFonts w:eastAsia="Times New Roman" w:cstheme="minorHAnsi"/>
                <w:b/>
                <w:bCs/>
                <w:sz w:val="24"/>
                <w:lang w:eastAsia="en-ZA"/>
              </w:rPr>
              <w:t xml:space="preserve">Conclusions and relevance: </w:t>
            </w:r>
            <w:r w:rsidRPr="00A5317F">
              <w:rPr>
                <w:rFonts w:eastAsia="Times New Roman" w:cstheme="minorHAnsi"/>
                <w:sz w:val="24"/>
                <w:lang w:eastAsia="en-ZA"/>
              </w:rPr>
              <w:t xml:space="preserve">Among adults presenting to primary care with acute sore throat, a single dose of oral dexamethasone compared with placebo did not increase the proportion of patients with resolution of symptoms at 24 hours. However, there was a significant difference at 48 hours. </w:t>
            </w:r>
          </w:p>
          <w:p w14:paraId="0770B1A4" w14:textId="5AFCCB03" w:rsidR="008E0C4C" w:rsidRDefault="00C14CC3" w:rsidP="00C14CC3">
            <w:pPr>
              <w:rPr>
                <w:rFonts w:eastAsia="Times New Roman" w:cstheme="minorHAnsi"/>
                <w:sz w:val="24"/>
                <w:szCs w:val="24"/>
                <w:lang w:eastAsia="en-ZA"/>
              </w:rPr>
            </w:pPr>
            <w:r w:rsidRPr="00A5317F">
              <w:rPr>
                <w:rFonts w:eastAsia="Times New Roman" w:cstheme="minorHAnsi"/>
                <w:b/>
                <w:bCs/>
                <w:sz w:val="24"/>
                <w:lang w:eastAsia="en-ZA"/>
              </w:rPr>
              <w:t xml:space="preserve">Trial registration: </w:t>
            </w:r>
            <w:r w:rsidRPr="00A5317F">
              <w:rPr>
                <w:rFonts w:eastAsia="Times New Roman" w:cstheme="minorHAnsi"/>
                <w:sz w:val="24"/>
                <w:lang w:eastAsia="en-ZA"/>
              </w:rPr>
              <w:t>isrctn.org Identifier: ISRCTN17435450</w:t>
            </w:r>
          </w:p>
        </w:tc>
      </w:tr>
    </w:tbl>
    <w:p w14:paraId="0FEE885D" w14:textId="77777777" w:rsidR="008E0C4C" w:rsidRDefault="008E0C4C" w:rsidP="00325DD2">
      <w:pPr>
        <w:pStyle w:val="Heading3"/>
        <w:spacing w:after="240"/>
        <w:rPr>
          <w:rFonts w:eastAsia="Times New Roman"/>
          <w:lang w:eastAsia="en-ZA"/>
        </w:rPr>
      </w:pPr>
      <w:r w:rsidRPr="003737B6">
        <w:rPr>
          <w:rFonts w:eastAsia="Times New Roman"/>
          <w:lang w:eastAsia="en-ZA"/>
        </w:rPr>
        <w:lastRenderedPageBreak/>
        <w:t xml:space="preserve">Answer the questions below. </w:t>
      </w:r>
    </w:p>
    <w:tbl>
      <w:tblPr>
        <w:tblW w:w="4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0"/>
        <w:gridCol w:w="913"/>
        <w:gridCol w:w="906"/>
        <w:gridCol w:w="1054"/>
      </w:tblGrid>
      <w:tr w:rsidR="00325DD2" w:rsidRPr="00842F2D" w14:paraId="143DDCA4" w14:textId="77777777" w:rsidTr="00516910">
        <w:trPr>
          <w:trHeight w:val="285"/>
          <w:jc w:val="center"/>
        </w:trPr>
        <w:tc>
          <w:tcPr>
            <w:tcW w:w="1040" w:type="dxa"/>
            <w:shd w:val="clear" w:color="auto" w:fill="auto"/>
            <w:tcMar>
              <w:top w:w="72" w:type="dxa"/>
              <w:left w:w="144" w:type="dxa"/>
              <w:bottom w:w="72" w:type="dxa"/>
              <w:right w:w="144" w:type="dxa"/>
            </w:tcMar>
            <w:hideMark/>
          </w:tcPr>
          <w:p w14:paraId="4CF21C6B" w14:textId="77777777" w:rsidR="00325DD2" w:rsidRPr="00842F2D" w:rsidRDefault="00325DD2" w:rsidP="00516910"/>
        </w:tc>
        <w:tc>
          <w:tcPr>
            <w:tcW w:w="1246" w:type="dxa"/>
            <w:shd w:val="clear" w:color="auto" w:fill="auto"/>
            <w:tcMar>
              <w:top w:w="72" w:type="dxa"/>
              <w:left w:w="144" w:type="dxa"/>
              <w:bottom w:w="72" w:type="dxa"/>
              <w:right w:w="144" w:type="dxa"/>
            </w:tcMar>
            <w:vAlign w:val="center"/>
            <w:hideMark/>
          </w:tcPr>
          <w:p w14:paraId="7F391D64" w14:textId="77777777" w:rsidR="00325DD2" w:rsidRPr="00842F2D" w:rsidRDefault="00325DD2" w:rsidP="00516910">
            <w:r w:rsidRPr="00842F2D">
              <w:rPr>
                <w:b/>
                <w:bCs/>
              </w:rPr>
              <w:t>Event</w:t>
            </w:r>
          </w:p>
        </w:tc>
        <w:tc>
          <w:tcPr>
            <w:tcW w:w="1218" w:type="dxa"/>
            <w:shd w:val="clear" w:color="auto" w:fill="auto"/>
            <w:tcMar>
              <w:top w:w="72" w:type="dxa"/>
              <w:left w:w="144" w:type="dxa"/>
              <w:bottom w:w="72" w:type="dxa"/>
              <w:right w:w="144" w:type="dxa"/>
            </w:tcMar>
            <w:hideMark/>
          </w:tcPr>
          <w:p w14:paraId="4D299471" w14:textId="77777777" w:rsidR="00325DD2" w:rsidRPr="00842F2D" w:rsidRDefault="00325DD2" w:rsidP="00516910">
            <w:r w:rsidRPr="00842F2D">
              <w:rPr>
                <w:b/>
                <w:bCs/>
              </w:rPr>
              <w:t>No Event</w:t>
            </w:r>
          </w:p>
        </w:tc>
        <w:tc>
          <w:tcPr>
            <w:tcW w:w="799" w:type="dxa"/>
            <w:shd w:val="clear" w:color="auto" w:fill="auto"/>
            <w:tcMar>
              <w:top w:w="72" w:type="dxa"/>
              <w:left w:w="144" w:type="dxa"/>
              <w:bottom w:w="72" w:type="dxa"/>
              <w:right w:w="144" w:type="dxa"/>
            </w:tcMar>
            <w:vAlign w:val="center"/>
            <w:hideMark/>
          </w:tcPr>
          <w:p w14:paraId="4F308A7E" w14:textId="77777777" w:rsidR="00325DD2" w:rsidRPr="00842F2D" w:rsidRDefault="00325DD2" w:rsidP="00516910">
            <w:r w:rsidRPr="00842F2D">
              <w:rPr>
                <w:b/>
                <w:bCs/>
              </w:rPr>
              <w:t>Total</w:t>
            </w:r>
          </w:p>
        </w:tc>
      </w:tr>
      <w:tr w:rsidR="00325DD2" w:rsidRPr="00842F2D" w14:paraId="59E60591" w14:textId="77777777" w:rsidTr="00516910">
        <w:trPr>
          <w:trHeight w:val="360"/>
          <w:jc w:val="center"/>
        </w:trPr>
        <w:tc>
          <w:tcPr>
            <w:tcW w:w="1040" w:type="dxa"/>
            <w:shd w:val="clear" w:color="auto" w:fill="auto"/>
            <w:tcMar>
              <w:top w:w="72" w:type="dxa"/>
              <w:left w:w="144" w:type="dxa"/>
              <w:bottom w:w="72" w:type="dxa"/>
              <w:right w:w="144" w:type="dxa"/>
            </w:tcMar>
            <w:hideMark/>
          </w:tcPr>
          <w:p w14:paraId="24464364" w14:textId="77777777" w:rsidR="00325DD2" w:rsidRPr="00842F2D" w:rsidRDefault="00325DD2" w:rsidP="00516910">
            <w:r w:rsidRPr="00842F2D">
              <w:rPr>
                <w:b/>
                <w:bCs/>
              </w:rPr>
              <w:t>Intervention</w:t>
            </w:r>
          </w:p>
        </w:tc>
        <w:tc>
          <w:tcPr>
            <w:tcW w:w="1246" w:type="dxa"/>
            <w:shd w:val="clear" w:color="auto" w:fill="auto"/>
            <w:tcMar>
              <w:top w:w="72" w:type="dxa"/>
              <w:left w:w="144" w:type="dxa"/>
              <w:bottom w:w="72" w:type="dxa"/>
              <w:right w:w="144" w:type="dxa"/>
            </w:tcMar>
            <w:hideMark/>
          </w:tcPr>
          <w:p w14:paraId="36941591" w14:textId="77777777" w:rsidR="00325DD2" w:rsidRPr="00842F2D" w:rsidRDefault="00325DD2" w:rsidP="00516910">
            <w:r w:rsidRPr="00842F2D">
              <w:t>a</w:t>
            </w:r>
          </w:p>
        </w:tc>
        <w:tc>
          <w:tcPr>
            <w:tcW w:w="1218" w:type="dxa"/>
            <w:shd w:val="clear" w:color="auto" w:fill="auto"/>
            <w:tcMar>
              <w:top w:w="72" w:type="dxa"/>
              <w:left w:w="144" w:type="dxa"/>
              <w:bottom w:w="72" w:type="dxa"/>
              <w:right w:w="144" w:type="dxa"/>
            </w:tcMar>
            <w:hideMark/>
          </w:tcPr>
          <w:p w14:paraId="6A0C2507" w14:textId="77777777" w:rsidR="00325DD2" w:rsidRPr="00842F2D" w:rsidRDefault="00325DD2" w:rsidP="00516910">
            <w:r w:rsidRPr="00842F2D">
              <w:t>b</w:t>
            </w:r>
          </w:p>
        </w:tc>
        <w:tc>
          <w:tcPr>
            <w:tcW w:w="799" w:type="dxa"/>
            <w:shd w:val="clear" w:color="auto" w:fill="auto"/>
            <w:tcMar>
              <w:top w:w="72" w:type="dxa"/>
              <w:left w:w="144" w:type="dxa"/>
              <w:bottom w:w="72" w:type="dxa"/>
              <w:right w:w="144" w:type="dxa"/>
            </w:tcMar>
            <w:hideMark/>
          </w:tcPr>
          <w:p w14:paraId="6EF57713" w14:textId="77777777" w:rsidR="00325DD2" w:rsidRPr="00842F2D" w:rsidRDefault="00325DD2" w:rsidP="00516910">
            <w:r>
              <w:rPr>
                <w:b/>
                <w:bCs/>
              </w:rPr>
              <w:t>a+b</w:t>
            </w:r>
          </w:p>
        </w:tc>
      </w:tr>
      <w:tr w:rsidR="00325DD2" w:rsidRPr="00842F2D" w14:paraId="3C9C8985" w14:textId="77777777" w:rsidTr="00516910">
        <w:trPr>
          <w:trHeight w:val="412"/>
          <w:jc w:val="center"/>
        </w:trPr>
        <w:tc>
          <w:tcPr>
            <w:tcW w:w="1040" w:type="dxa"/>
            <w:shd w:val="clear" w:color="auto" w:fill="auto"/>
            <w:tcMar>
              <w:top w:w="72" w:type="dxa"/>
              <w:left w:w="144" w:type="dxa"/>
              <w:bottom w:w="72" w:type="dxa"/>
              <w:right w:w="144" w:type="dxa"/>
            </w:tcMar>
            <w:hideMark/>
          </w:tcPr>
          <w:p w14:paraId="68707AA4" w14:textId="77777777" w:rsidR="00325DD2" w:rsidRPr="00842F2D" w:rsidRDefault="00325DD2" w:rsidP="00516910">
            <w:r w:rsidRPr="00842F2D">
              <w:rPr>
                <w:b/>
                <w:bCs/>
              </w:rPr>
              <w:t>Control</w:t>
            </w:r>
          </w:p>
        </w:tc>
        <w:tc>
          <w:tcPr>
            <w:tcW w:w="1246" w:type="dxa"/>
            <w:shd w:val="clear" w:color="auto" w:fill="auto"/>
            <w:tcMar>
              <w:top w:w="72" w:type="dxa"/>
              <w:left w:w="144" w:type="dxa"/>
              <w:bottom w:w="72" w:type="dxa"/>
              <w:right w:w="144" w:type="dxa"/>
            </w:tcMar>
            <w:hideMark/>
          </w:tcPr>
          <w:p w14:paraId="3E1DE628" w14:textId="77777777" w:rsidR="00325DD2" w:rsidRPr="00842F2D" w:rsidRDefault="00325DD2" w:rsidP="00516910">
            <w:r w:rsidRPr="00842F2D">
              <w:rPr>
                <w:b/>
                <w:bCs/>
              </w:rPr>
              <w:t>c</w:t>
            </w:r>
          </w:p>
        </w:tc>
        <w:tc>
          <w:tcPr>
            <w:tcW w:w="1218" w:type="dxa"/>
            <w:shd w:val="clear" w:color="auto" w:fill="auto"/>
            <w:tcMar>
              <w:top w:w="72" w:type="dxa"/>
              <w:left w:w="144" w:type="dxa"/>
              <w:bottom w:w="72" w:type="dxa"/>
              <w:right w:w="144" w:type="dxa"/>
            </w:tcMar>
            <w:hideMark/>
          </w:tcPr>
          <w:p w14:paraId="1C135AAF" w14:textId="77777777" w:rsidR="00325DD2" w:rsidRPr="00842F2D" w:rsidRDefault="00325DD2" w:rsidP="00516910">
            <w:r w:rsidRPr="00842F2D">
              <w:t>d</w:t>
            </w:r>
          </w:p>
        </w:tc>
        <w:tc>
          <w:tcPr>
            <w:tcW w:w="799" w:type="dxa"/>
            <w:shd w:val="clear" w:color="auto" w:fill="auto"/>
            <w:tcMar>
              <w:top w:w="72" w:type="dxa"/>
              <w:left w:w="144" w:type="dxa"/>
              <w:bottom w:w="72" w:type="dxa"/>
              <w:right w:w="144" w:type="dxa"/>
            </w:tcMar>
            <w:hideMark/>
          </w:tcPr>
          <w:p w14:paraId="2D8AB05C" w14:textId="77777777" w:rsidR="00325DD2" w:rsidRPr="00842F2D" w:rsidRDefault="00325DD2" w:rsidP="00516910">
            <w:r>
              <w:rPr>
                <w:b/>
                <w:bCs/>
              </w:rPr>
              <w:t>c+d</w:t>
            </w:r>
          </w:p>
        </w:tc>
      </w:tr>
      <w:tr w:rsidR="00325DD2" w:rsidRPr="00842F2D" w14:paraId="4D118432" w14:textId="77777777" w:rsidTr="00516910">
        <w:trPr>
          <w:trHeight w:val="360"/>
          <w:jc w:val="center"/>
        </w:trPr>
        <w:tc>
          <w:tcPr>
            <w:tcW w:w="1040" w:type="dxa"/>
            <w:shd w:val="clear" w:color="auto" w:fill="auto"/>
            <w:tcMar>
              <w:top w:w="72" w:type="dxa"/>
              <w:left w:w="144" w:type="dxa"/>
              <w:bottom w:w="72" w:type="dxa"/>
              <w:right w:w="144" w:type="dxa"/>
            </w:tcMar>
            <w:hideMark/>
          </w:tcPr>
          <w:p w14:paraId="5C5493D3" w14:textId="77777777" w:rsidR="00325DD2" w:rsidRPr="00842F2D" w:rsidRDefault="00325DD2" w:rsidP="00516910">
            <w:r w:rsidRPr="00842F2D">
              <w:rPr>
                <w:b/>
                <w:bCs/>
              </w:rPr>
              <w:t>Total</w:t>
            </w:r>
          </w:p>
        </w:tc>
        <w:tc>
          <w:tcPr>
            <w:tcW w:w="1246" w:type="dxa"/>
            <w:shd w:val="clear" w:color="auto" w:fill="auto"/>
            <w:tcMar>
              <w:top w:w="72" w:type="dxa"/>
              <w:left w:w="144" w:type="dxa"/>
              <w:bottom w:w="72" w:type="dxa"/>
              <w:right w:w="144" w:type="dxa"/>
            </w:tcMar>
            <w:hideMark/>
          </w:tcPr>
          <w:p w14:paraId="33B7DDB2" w14:textId="77777777" w:rsidR="00325DD2" w:rsidRPr="00842F2D" w:rsidRDefault="00325DD2" w:rsidP="00516910">
            <w:r>
              <w:rPr>
                <w:b/>
                <w:bCs/>
              </w:rPr>
              <w:t>a+c</w:t>
            </w:r>
          </w:p>
        </w:tc>
        <w:tc>
          <w:tcPr>
            <w:tcW w:w="1218" w:type="dxa"/>
            <w:shd w:val="clear" w:color="auto" w:fill="auto"/>
            <w:tcMar>
              <w:top w:w="72" w:type="dxa"/>
              <w:left w:w="144" w:type="dxa"/>
              <w:bottom w:w="72" w:type="dxa"/>
              <w:right w:w="144" w:type="dxa"/>
            </w:tcMar>
            <w:hideMark/>
          </w:tcPr>
          <w:p w14:paraId="2FC0B98D" w14:textId="77777777" w:rsidR="00325DD2" w:rsidRPr="00842F2D" w:rsidRDefault="00325DD2" w:rsidP="00516910">
            <w:r>
              <w:rPr>
                <w:b/>
                <w:bCs/>
              </w:rPr>
              <w:t>b+d</w:t>
            </w:r>
          </w:p>
        </w:tc>
        <w:tc>
          <w:tcPr>
            <w:tcW w:w="799" w:type="dxa"/>
            <w:shd w:val="clear" w:color="auto" w:fill="auto"/>
            <w:tcMar>
              <w:top w:w="72" w:type="dxa"/>
              <w:left w:w="144" w:type="dxa"/>
              <w:bottom w:w="72" w:type="dxa"/>
              <w:right w:w="144" w:type="dxa"/>
            </w:tcMar>
            <w:hideMark/>
          </w:tcPr>
          <w:p w14:paraId="0F9B1F6E" w14:textId="77777777" w:rsidR="00325DD2" w:rsidRPr="00842F2D" w:rsidRDefault="00325DD2" w:rsidP="00516910">
            <w:r>
              <w:rPr>
                <w:b/>
                <w:bCs/>
              </w:rPr>
              <w:t>a+b+c+d</w:t>
            </w:r>
          </w:p>
        </w:tc>
      </w:tr>
    </w:tbl>
    <w:p w14:paraId="354A02E6" w14:textId="1EE9F1D0" w:rsidR="00325DD2" w:rsidRPr="00325DD2" w:rsidRDefault="00325DD2" w:rsidP="00325DD2">
      <w:pPr>
        <w:rPr>
          <w:lang w:eastAsia="en-ZA"/>
        </w:rPr>
        <w:sectPr w:rsidR="00325DD2" w:rsidRPr="00325DD2" w:rsidSect="00F46A3F">
          <w:pgSz w:w="11906" w:h="16838" w:code="9"/>
          <w:pgMar w:top="1134" w:right="1418" w:bottom="1134" w:left="1418" w:header="709" w:footer="709" w:gutter="0"/>
          <w:cols w:space="708"/>
          <w:docGrid w:linePitch="360"/>
        </w:sectPr>
      </w:pPr>
    </w:p>
    <w:p w14:paraId="6D85CAF5" w14:textId="18E237D9"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w:t>
      </w:r>
      <w:r w:rsidR="009239AF">
        <w:rPr>
          <w:rFonts w:eastAsia="Times New Roman" w:cstheme="minorHAnsi"/>
          <w:sz w:val="24"/>
          <w:szCs w:val="24"/>
          <w:lang w:eastAsia="en-ZA"/>
        </w:rPr>
        <w:t>achieving complete resolution of symptoms at 24 hours in the dexamethasone group?</w:t>
      </w:r>
    </w:p>
    <w:p w14:paraId="39852E97" w14:textId="5574F13B" w:rsidR="00325DD2" w:rsidRDefault="00325DD2" w:rsidP="00325DD2">
      <w:pPr>
        <w:spacing w:before="100" w:beforeAutospacing="1" w:after="100" w:afterAutospacing="1" w:line="240" w:lineRule="auto"/>
        <w:rPr>
          <w:rFonts w:eastAsia="Times New Roman" w:cstheme="minorHAnsi"/>
          <w:sz w:val="24"/>
          <w:szCs w:val="24"/>
          <w:lang w:eastAsia="en-ZA"/>
        </w:rPr>
      </w:pPr>
    </w:p>
    <w:p w14:paraId="025735BC" w14:textId="66B523D8" w:rsidR="00325DD2" w:rsidRDefault="00325DD2" w:rsidP="00325DD2">
      <w:pPr>
        <w:spacing w:before="100" w:beforeAutospacing="1" w:after="100" w:afterAutospacing="1" w:line="240" w:lineRule="auto"/>
        <w:rPr>
          <w:rFonts w:eastAsia="Times New Roman" w:cstheme="minorHAnsi"/>
          <w:sz w:val="24"/>
          <w:szCs w:val="24"/>
          <w:lang w:eastAsia="en-ZA"/>
        </w:rPr>
      </w:pPr>
    </w:p>
    <w:p w14:paraId="4E2CF84D" w14:textId="77777777" w:rsidR="00325DD2" w:rsidRPr="00325DD2" w:rsidRDefault="00325DD2" w:rsidP="00325DD2">
      <w:pPr>
        <w:spacing w:before="100" w:beforeAutospacing="1" w:after="100" w:afterAutospacing="1" w:line="240" w:lineRule="auto"/>
        <w:rPr>
          <w:rFonts w:eastAsia="Times New Roman" w:cstheme="minorHAnsi"/>
          <w:sz w:val="24"/>
          <w:szCs w:val="24"/>
          <w:lang w:eastAsia="en-ZA"/>
        </w:rPr>
      </w:pPr>
    </w:p>
    <w:p w14:paraId="5F59848B" w14:textId="77777777" w:rsidR="003737B6" w:rsidRPr="003737B6" w:rsidRDefault="003737B6" w:rsidP="003737B6">
      <w:pPr>
        <w:spacing w:before="100" w:beforeAutospacing="1" w:after="100" w:afterAutospacing="1" w:line="240" w:lineRule="auto"/>
        <w:rPr>
          <w:rFonts w:eastAsia="Times New Roman" w:cstheme="minorHAnsi"/>
          <w:sz w:val="24"/>
          <w:szCs w:val="24"/>
          <w:lang w:eastAsia="en-ZA"/>
        </w:rPr>
      </w:pPr>
    </w:p>
    <w:p w14:paraId="55B88C61" w14:textId="28E86C8F"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w:t>
      </w:r>
      <w:r w:rsidR="009239AF">
        <w:rPr>
          <w:rFonts w:eastAsia="Times New Roman" w:cstheme="minorHAnsi"/>
          <w:sz w:val="24"/>
          <w:szCs w:val="24"/>
          <w:lang w:eastAsia="en-ZA"/>
        </w:rPr>
        <w:t>of achieving complete resolution of symptoms at 24 hours in the placebo group?</w:t>
      </w:r>
    </w:p>
    <w:p w14:paraId="463FBE52" w14:textId="2E3E82DB" w:rsidR="003737B6" w:rsidRDefault="003737B6" w:rsidP="003737B6">
      <w:pPr>
        <w:spacing w:before="100" w:beforeAutospacing="1" w:after="100" w:afterAutospacing="1" w:line="240" w:lineRule="auto"/>
        <w:rPr>
          <w:rFonts w:eastAsia="Times New Roman" w:cstheme="minorHAnsi"/>
          <w:sz w:val="24"/>
          <w:szCs w:val="24"/>
          <w:lang w:eastAsia="en-ZA"/>
        </w:rPr>
      </w:pPr>
    </w:p>
    <w:p w14:paraId="2F2EE014" w14:textId="345734E9" w:rsidR="00325DD2" w:rsidRDefault="00325DD2" w:rsidP="003737B6">
      <w:pPr>
        <w:spacing w:before="100" w:beforeAutospacing="1" w:after="100" w:afterAutospacing="1" w:line="240" w:lineRule="auto"/>
        <w:rPr>
          <w:rFonts w:eastAsia="Times New Roman" w:cstheme="minorHAnsi"/>
          <w:sz w:val="24"/>
          <w:szCs w:val="24"/>
          <w:lang w:eastAsia="en-ZA"/>
        </w:rPr>
      </w:pPr>
    </w:p>
    <w:p w14:paraId="109599BA" w14:textId="56372832" w:rsidR="00325DD2" w:rsidRDefault="00325DD2" w:rsidP="003737B6">
      <w:pPr>
        <w:spacing w:before="100" w:beforeAutospacing="1" w:after="100" w:afterAutospacing="1" w:line="240" w:lineRule="auto"/>
        <w:rPr>
          <w:rFonts w:eastAsia="Times New Roman" w:cstheme="minorHAnsi"/>
          <w:sz w:val="24"/>
          <w:szCs w:val="24"/>
          <w:lang w:eastAsia="en-ZA"/>
        </w:rPr>
      </w:pPr>
    </w:p>
    <w:p w14:paraId="1D0DE5C6" w14:textId="3934AE14" w:rsidR="00325DD2" w:rsidRDefault="00325DD2" w:rsidP="003737B6">
      <w:pPr>
        <w:spacing w:before="100" w:beforeAutospacing="1" w:after="100" w:afterAutospacing="1" w:line="240" w:lineRule="auto"/>
        <w:rPr>
          <w:rFonts w:eastAsia="Times New Roman" w:cstheme="minorHAnsi"/>
          <w:sz w:val="24"/>
          <w:szCs w:val="24"/>
          <w:lang w:eastAsia="en-ZA"/>
        </w:rPr>
      </w:pPr>
    </w:p>
    <w:p w14:paraId="3507043E" w14:textId="77777777" w:rsidR="00325DD2" w:rsidRPr="003737B6" w:rsidRDefault="00325DD2" w:rsidP="003737B6">
      <w:pPr>
        <w:spacing w:before="100" w:beforeAutospacing="1" w:after="100" w:afterAutospacing="1" w:line="240" w:lineRule="auto"/>
        <w:rPr>
          <w:rFonts w:eastAsia="Times New Roman" w:cstheme="minorHAnsi"/>
          <w:sz w:val="24"/>
          <w:szCs w:val="24"/>
          <w:lang w:eastAsia="en-ZA"/>
        </w:rPr>
      </w:pPr>
    </w:p>
    <w:p w14:paraId="1DBDB09D" w14:textId="786DCFE3"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relative risk</w:t>
      </w:r>
      <w:r w:rsidR="003737B6">
        <w:rPr>
          <w:rFonts w:eastAsia="Times New Roman" w:cstheme="minorHAnsi"/>
          <w:sz w:val="24"/>
          <w:szCs w:val="24"/>
          <w:lang w:eastAsia="en-ZA"/>
        </w:rPr>
        <w:t xml:space="preserve"> (RR)</w:t>
      </w:r>
      <w:r>
        <w:rPr>
          <w:rFonts w:eastAsia="Times New Roman" w:cstheme="minorHAnsi"/>
          <w:sz w:val="24"/>
          <w:szCs w:val="24"/>
          <w:lang w:eastAsia="en-ZA"/>
        </w:rPr>
        <w:t xml:space="preserve"> for the outcome </w:t>
      </w:r>
      <w:r w:rsidR="009239AF">
        <w:rPr>
          <w:rFonts w:eastAsia="Times New Roman" w:cstheme="minorHAnsi"/>
          <w:sz w:val="24"/>
          <w:szCs w:val="24"/>
          <w:lang w:eastAsia="en-ZA"/>
        </w:rPr>
        <w:t>resolution of symptoms at 24 hours</w:t>
      </w:r>
      <w:r>
        <w:rPr>
          <w:rFonts w:eastAsia="Times New Roman" w:cstheme="minorHAnsi"/>
          <w:sz w:val="24"/>
          <w:szCs w:val="24"/>
          <w:lang w:eastAsia="en-ZA"/>
        </w:rPr>
        <w:t xml:space="preserve">. </w:t>
      </w:r>
    </w:p>
    <w:p w14:paraId="6D686B6D" w14:textId="3F3A7B4D" w:rsidR="003737B6" w:rsidRDefault="003737B6" w:rsidP="003737B6">
      <w:pPr>
        <w:spacing w:before="100" w:beforeAutospacing="1" w:after="100" w:afterAutospacing="1" w:line="240" w:lineRule="auto"/>
        <w:rPr>
          <w:rFonts w:eastAsia="Times New Roman" w:cstheme="minorHAnsi"/>
          <w:sz w:val="24"/>
          <w:szCs w:val="24"/>
          <w:lang w:eastAsia="en-ZA"/>
        </w:rPr>
      </w:pPr>
    </w:p>
    <w:p w14:paraId="41990939" w14:textId="693A833B" w:rsidR="003737B6" w:rsidRDefault="003737B6" w:rsidP="003737B6">
      <w:pPr>
        <w:spacing w:before="100" w:beforeAutospacing="1" w:after="100" w:afterAutospacing="1" w:line="240" w:lineRule="auto"/>
        <w:rPr>
          <w:rFonts w:eastAsia="Times New Roman" w:cstheme="minorHAnsi"/>
          <w:sz w:val="24"/>
          <w:szCs w:val="24"/>
          <w:lang w:eastAsia="en-ZA"/>
        </w:rPr>
      </w:pPr>
    </w:p>
    <w:p w14:paraId="04C95DEE" w14:textId="3C2531BA" w:rsidR="00325DD2" w:rsidRDefault="00325DD2" w:rsidP="003737B6">
      <w:pPr>
        <w:spacing w:before="100" w:beforeAutospacing="1" w:after="100" w:afterAutospacing="1" w:line="240" w:lineRule="auto"/>
        <w:rPr>
          <w:rFonts w:eastAsia="Times New Roman" w:cstheme="minorHAnsi"/>
          <w:sz w:val="24"/>
          <w:szCs w:val="24"/>
          <w:lang w:eastAsia="en-ZA"/>
        </w:rPr>
      </w:pPr>
    </w:p>
    <w:p w14:paraId="79F1843C" w14:textId="416ADF91" w:rsidR="00325DD2" w:rsidRDefault="00325DD2" w:rsidP="003737B6">
      <w:pPr>
        <w:spacing w:before="100" w:beforeAutospacing="1" w:after="100" w:afterAutospacing="1" w:line="240" w:lineRule="auto"/>
        <w:rPr>
          <w:rFonts w:eastAsia="Times New Roman" w:cstheme="minorHAnsi"/>
          <w:sz w:val="24"/>
          <w:szCs w:val="24"/>
          <w:lang w:eastAsia="en-ZA"/>
        </w:rPr>
      </w:pPr>
    </w:p>
    <w:p w14:paraId="3C0F9B90" w14:textId="3DCFADA4" w:rsidR="00325DD2" w:rsidRDefault="00325DD2" w:rsidP="003737B6">
      <w:pPr>
        <w:spacing w:before="100" w:beforeAutospacing="1" w:after="100" w:afterAutospacing="1" w:line="240" w:lineRule="auto"/>
        <w:rPr>
          <w:rFonts w:eastAsia="Times New Roman" w:cstheme="minorHAnsi"/>
          <w:sz w:val="24"/>
          <w:szCs w:val="24"/>
          <w:lang w:eastAsia="en-ZA"/>
        </w:rPr>
      </w:pPr>
    </w:p>
    <w:p w14:paraId="63454D9C" w14:textId="77777777" w:rsidR="00325DD2" w:rsidRPr="003737B6" w:rsidRDefault="00325DD2" w:rsidP="003737B6">
      <w:pPr>
        <w:spacing w:before="100" w:beforeAutospacing="1" w:after="100" w:afterAutospacing="1" w:line="240" w:lineRule="auto"/>
        <w:rPr>
          <w:rFonts w:eastAsia="Times New Roman" w:cstheme="minorHAnsi"/>
          <w:sz w:val="24"/>
          <w:szCs w:val="24"/>
          <w:lang w:eastAsia="en-ZA"/>
        </w:rPr>
      </w:pPr>
    </w:p>
    <w:p w14:paraId="626D6791" w14:textId="199CFE08" w:rsidR="008E0C4C" w:rsidRDefault="00E87DFB"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lastRenderedPageBreak/>
        <w:t xml:space="preserve">How would you express the RR in words? Select all that apply. </w:t>
      </w:r>
    </w:p>
    <w:p w14:paraId="36CA2FC1" w14:textId="69278238" w:rsidR="00C22EC9" w:rsidRDefault="00C22EC9" w:rsidP="003B4699">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C22EC9">
        <w:rPr>
          <w:rFonts w:eastAsia="Times New Roman" w:cstheme="minorHAnsi"/>
          <w:sz w:val="24"/>
          <w:szCs w:val="24"/>
          <w:lang w:eastAsia="en-ZA"/>
        </w:rPr>
        <w:t>Patients receiving dexamethasone were 1.3 times as likely to have resolution of symptoms at 24 hours compared to patients receiving placebo.</w:t>
      </w:r>
    </w:p>
    <w:p w14:paraId="53C4A050" w14:textId="08DC2A7E" w:rsidR="00C22EC9" w:rsidRPr="00C22EC9" w:rsidRDefault="00C22EC9" w:rsidP="003B4699">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C22EC9">
        <w:rPr>
          <w:rFonts w:eastAsia="Times New Roman" w:cstheme="minorHAnsi"/>
          <w:sz w:val="24"/>
          <w:szCs w:val="24"/>
          <w:lang w:eastAsia="en-ZA"/>
        </w:rPr>
        <w:t xml:space="preserve">Patients receiving dexamethasone were </w:t>
      </w:r>
      <w:r w:rsidR="00897D17">
        <w:rPr>
          <w:rFonts w:eastAsia="Times New Roman" w:cstheme="minorHAnsi"/>
          <w:sz w:val="24"/>
          <w:szCs w:val="24"/>
          <w:lang w:eastAsia="en-ZA"/>
        </w:rPr>
        <w:t>0</w:t>
      </w:r>
      <w:r w:rsidRPr="00C22EC9">
        <w:rPr>
          <w:rFonts w:eastAsia="Times New Roman" w:cstheme="minorHAnsi"/>
          <w:sz w:val="24"/>
          <w:szCs w:val="24"/>
          <w:lang w:eastAsia="en-ZA"/>
        </w:rPr>
        <w:t>.3 times as likely to have resolution of symptoms at 24 hours compared to patients receiving placebo.</w:t>
      </w:r>
    </w:p>
    <w:p w14:paraId="2BBB8406" w14:textId="228A0588" w:rsidR="00C22EC9" w:rsidRDefault="003B4699" w:rsidP="003B4699">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3B4699">
        <w:rPr>
          <w:rFonts w:eastAsia="Times New Roman" w:cstheme="minorHAnsi"/>
          <w:sz w:val="24"/>
          <w:szCs w:val="24"/>
          <w:lang w:eastAsia="en-ZA"/>
        </w:rPr>
        <w:t xml:space="preserve">The risk of resolution of symptoms at 24 hours was increased by 30% among patients receiving dexamethasone compared to patients receiving placebo.  </w:t>
      </w:r>
    </w:p>
    <w:p w14:paraId="2402F312" w14:textId="0CDDFB82" w:rsidR="003B4699" w:rsidRPr="00C22EC9" w:rsidRDefault="003B4699" w:rsidP="003B4699">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3B4699">
        <w:rPr>
          <w:rFonts w:eastAsia="Times New Roman" w:cstheme="minorHAnsi"/>
          <w:sz w:val="24"/>
          <w:szCs w:val="24"/>
          <w:lang w:eastAsia="en-ZA"/>
        </w:rPr>
        <w:t xml:space="preserve">The risk of resolution of symptoms at 24 hours was increased by </w:t>
      </w:r>
      <w:r>
        <w:rPr>
          <w:rFonts w:eastAsia="Times New Roman" w:cstheme="minorHAnsi"/>
          <w:sz w:val="24"/>
          <w:szCs w:val="24"/>
          <w:lang w:eastAsia="en-ZA"/>
        </w:rPr>
        <w:t>1</w:t>
      </w:r>
      <w:r w:rsidRPr="003B4699">
        <w:rPr>
          <w:rFonts w:eastAsia="Times New Roman" w:cstheme="minorHAnsi"/>
          <w:sz w:val="24"/>
          <w:szCs w:val="24"/>
          <w:lang w:eastAsia="en-ZA"/>
        </w:rPr>
        <w:t xml:space="preserve">30% among patients receiving dexamethasone compared to patients receiving placebo.  </w:t>
      </w:r>
    </w:p>
    <w:p w14:paraId="7374C50C" w14:textId="77777777" w:rsidR="003737B6" w:rsidRPr="003737B6" w:rsidRDefault="003737B6" w:rsidP="003737B6">
      <w:pPr>
        <w:spacing w:before="100" w:beforeAutospacing="1" w:after="100" w:afterAutospacing="1" w:line="240" w:lineRule="auto"/>
        <w:rPr>
          <w:rFonts w:eastAsia="Times New Roman" w:cstheme="minorHAnsi"/>
          <w:sz w:val="24"/>
          <w:szCs w:val="24"/>
          <w:lang w:eastAsia="en-ZA"/>
        </w:rPr>
        <w:sectPr w:rsidR="003737B6" w:rsidRPr="003737B6" w:rsidSect="003737B6">
          <w:type w:val="continuous"/>
          <w:pgSz w:w="11906" w:h="16838" w:code="9"/>
          <w:pgMar w:top="1134" w:right="1418" w:bottom="1134" w:left="1418" w:header="709" w:footer="709" w:gutter="0"/>
          <w:cols w:space="708"/>
          <w:docGrid w:linePitch="360"/>
        </w:sectPr>
      </w:pPr>
    </w:p>
    <w:p w14:paraId="6F30EADB" w14:textId="12F4B0EA" w:rsidR="008E0C4C" w:rsidRDefault="003737B6"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odds ratio (OR) for</w:t>
      </w:r>
      <w:r w:rsidR="009239AF">
        <w:rPr>
          <w:rFonts w:eastAsia="Times New Roman" w:cstheme="minorHAnsi"/>
          <w:sz w:val="24"/>
          <w:szCs w:val="24"/>
          <w:lang w:eastAsia="en-ZA"/>
        </w:rPr>
        <w:t xml:space="preserve"> the outcome resolution of symptoms at 48 hours.</w:t>
      </w:r>
    </w:p>
    <w:p w14:paraId="6DD78084" w14:textId="305A473B" w:rsidR="003737B6" w:rsidRDefault="003737B6" w:rsidP="003737B6">
      <w:pPr>
        <w:spacing w:before="100" w:beforeAutospacing="1" w:after="100" w:afterAutospacing="1" w:line="240" w:lineRule="auto"/>
        <w:rPr>
          <w:rFonts w:eastAsia="Times New Roman" w:cstheme="minorHAnsi"/>
          <w:sz w:val="24"/>
          <w:szCs w:val="24"/>
          <w:lang w:eastAsia="en-ZA"/>
        </w:rPr>
      </w:pPr>
    </w:p>
    <w:p w14:paraId="126B7C5A" w14:textId="408E3AF9" w:rsidR="00325DD2" w:rsidRDefault="00325DD2" w:rsidP="003737B6">
      <w:pPr>
        <w:spacing w:before="100" w:beforeAutospacing="1" w:after="100" w:afterAutospacing="1" w:line="240" w:lineRule="auto"/>
        <w:rPr>
          <w:rFonts w:eastAsia="Times New Roman" w:cstheme="minorHAnsi"/>
          <w:sz w:val="24"/>
          <w:szCs w:val="24"/>
          <w:lang w:eastAsia="en-ZA"/>
        </w:rPr>
      </w:pPr>
    </w:p>
    <w:p w14:paraId="2B7937BA" w14:textId="645BA92B" w:rsidR="00325DD2" w:rsidRDefault="00325DD2" w:rsidP="003737B6">
      <w:pPr>
        <w:spacing w:before="100" w:beforeAutospacing="1" w:after="100" w:afterAutospacing="1" w:line="240" w:lineRule="auto"/>
        <w:rPr>
          <w:rFonts w:eastAsia="Times New Roman" w:cstheme="minorHAnsi"/>
          <w:sz w:val="24"/>
          <w:szCs w:val="24"/>
          <w:lang w:eastAsia="en-ZA"/>
        </w:rPr>
      </w:pPr>
    </w:p>
    <w:p w14:paraId="2B75C538" w14:textId="77777777" w:rsidR="00325DD2" w:rsidRDefault="00325DD2" w:rsidP="003737B6">
      <w:pPr>
        <w:spacing w:before="100" w:beforeAutospacing="1" w:after="100" w:afterAutospacing="1" w:line="240" w:lineRule="auto"/>
        <w:rPr>
          <w:rFonts w:eastAsia="Times New Roman" w:cstheme="minorHAnsi"/>
          <w:sz w:val="24"/>
          <w:szCs w:val="24"/>
          <w:lang w:eastAsia="en-ZA"/>
        </w:rPr>
      </w:pPr>
    </w:p>
    <w:p w14:paraId="31826F60" w14:textId="77777777" w:rsidR="0084244D" w:rsidRDefault="0084244D" w:rsidP="003737B6">
      <w:pPr>
        <w:spacing w:before="100" w:beforeAutospacing="1" w:after="100" w:afterAutospacing="1" w:line="240" w:lineRule="auto"/>
        <w:rPr>
          <w:rFonts w:eastAsia="Times New Roman" w:cstheme="minorHAnsi"/>
          <w:sz w:val="24"/>
          <w:szCs w:val="24"/>
          <w:lang w:eastAsia="en-ZA"/>
        </w:rPr>
      </w:pPr>
    </w:p>
    <w:p w14:paraId="2B26CF75" w14:textId="74BF3C20" w:rsidR="003737B6" w:rsidRDefault="00A43FDE"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Express </w:t>
      </w:r>
      <w:r w:rsidR="003737B6">
        <w:rPr>
          <w:rFonts w:eastAsia="Times New Roman" w:cstheme="minorHAnsi"/>
          <w:sz w:val="24"/>
          <w:szCs w:val="24"/>
          <w:lang w:eastAsia="en-ZA"/>
        </w:rPr>
        <w:t>the OR</w:t>
      </w:r>
      <w:r>
        <w:rPr>
          <w:rFonts w:eastAsia="Times New Roman" w:cstheme="minorHAnsi"/>
          <w:sz w:val="24"/>
          <w:szCs w:val="24"/>
          <w:lang w:eastAsia="en-ZA"/>
        </w:rPr>
        <w:t xml:space="preserve"> in words. </w:t>
      </w:r>
    </w:p>
    <w:p w14:paraId="13891978" w14:textId="73C8A3FC" w:rsidR="00A43FDE" w:rsidRDefault="00A43FDE" w:rsidP="0084244D">
      <w:pPr>
        <w:spacing w:before="100" w:beforeAutospacing="1" w:after="100" w:afterAutospacing="1" w:line="240" w:lineRule="auto"/>
        <w:rPr>
          <w:rFonts w:eastAsia="Times New Roman" w:cstheme="minorHAnsi"/>
          <w:sz w:val="24"/>
          <w:szCs w:val="24"/>
          <w:lang w:eastAsia="en-ZA"/>
        </w:rPr>
      </w:pPr>
    </w:p>
    <w:p w14:paraId="7347FCB2" w14:textId="77777777" w:rsidR="00A43FDE" w:rsidRPr="0084244D" w:rsidRDefault="00A43FDE" w:rsidP="0084244D">
      <w:pPr>
        <w:spacing w:before="100" w:beforeAutospacing="1" w:after="100" w:afterAutospacing="1" w:line="240" w:lineRule="auto"/>
        <w:rPr>
          <w:rFonts w:eastAsia="Times New Roman" w:cstheme="minorHAnsi"/>
          <w:sz w:val="24"/>
          <w:szCs w:val="24"/>
          <w:lang w:eastAsia="en-ZA"/>
        </w:rPr>
      </w:pPr>
    </w:p>
    <w:p w14:paraId="0AF1762D" w14:textId="77777777" w:rsidR="003737B6" w:rsidRPr="003737B6" w:rsidRDefault="003737B6" w:rsidP="003737B6">
      <w:pPr>
        <w:pStyle w:val="ListParagraph"/>
        <w:rPr>
          <w:rFonts w:eastAsia="Times New Roman" w:cstheme="minorHAnsi"/>
          <w:sz w:val="24"/>
          <w:szCs w:val="24"/>
          <w:lang w:eastAsia="en-ZA"/>
        </w:rPr>
      </w:pPr>
    </w:p>
    <w:p w14:paraId="7BA3C474" w14:textId="0348BCEF" w:rsidR="0084244D" w:rsidRDefault="0084244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Calculate the </w:t>
      </w:r>
      <w:r w:rsidR="009239AF">
        <w:rPr>
          <w:rFonts w:eastAsia="Times New Roman" w:cstheme="minorHAnsi"/>
          <w:sz w:val="24"/>
          <w:szCs w:val="24"/>
          <w:lang w:eastAsia="en-ZA"/>
        </w:rPr>
        <w:t>OR</w:t>
      </w:r>
      <w:r>
        <w:rPr>
          <w:rFonts w:eastAsia="Times New Roman" w:cstheme="minorHAnsi"/>
          <w:sz w:val="24"/>
          <w:szCs w:val="24"/>
          <w:lang w:eastAsia="en-ZA"/>
        </w:rPr>
        <w:t xml:space="preserve"> for </w:t>
      </w:r>
      <w:r w:rsidR="009239AF">
        <w:rPr>
          <w:rFonts w:eastAsia="Times New Roman" w:cstheme="minorHAnsi"/>
          <w:sz w:val="24"/>
          <w:szCs w:val="24"/>
          <w:lang w:eastAsia="en-ZA"/>
        </w:rPr>
        <w:t xml:space="preserve">outcome resolution of symptoms at 48 hours among </w:t>
      </w:r>
      <w:r w:rsidR="009239AF" w:rsidRPr="00A5317F">
        <w:rPr>
          <w:rFonts w:eastAsia="Times New Roman" w:cstheme="minorHAnsi"/>
          <w:sz w:val="24"/>
          <w:lang w:eastAsia="en-ZA"/>
        </w:rPr>
        <w:t>participants not offered delayed antibiotic prescription</w:t>
      </w:r>
      <w:r>
        <w:rPr>
          <w:rFonts w:eastAsia="Times New Roman" w:cstheme="minorHAnsi"/>
          <w:sz w:val="24"/>
          <w:szCs w:val="24"/>
          <w:lang w:eastAsia="en-ZA"/>
        </w:rPr>
        <w:t>.</w:t>
      </w:r>
    </w:p>
    <w:p w14:paraId="3139E855" w14:textId="2BB62623" w:rsidR="0084244D" w:rsidRDefault="0084244D" w:rsidP="0084244D">
      <w:pPr>
        <w:spacing w:before="100" w:beforeAutospacing="1" w:after="100" w:afterAutospacing="1" w:line="240" w:lineRule="auto"/>
        <w:rPr>
          <w:rFonts w:eastAsia="Times New Roman" w:cstheme="minorHAnsi"/>
          <w:sz w:val="24"/>
          <w:szCs w:val="24"/>
          <w:lang w:eastAsia="en-ZA"/>
        </w:rPr>
      </w:pPr>
    </w:p>
    <w:p w14:paraId="05E1CEBB" w14:textId="601BACB7" w:rsidR="00A43FDE" w:rsidRDefault="00A43FDE" w:rsidP="0084244D">
      <w:pPr>
        <w:spacing w:before="100" w:beforeAutospacing="1" w:after="100" w:afterAutospacing="1" w:line="240" w:lineRule="auto"/>
        <w:rPr>
          <w:rFonts w:eastAsia="Times New Roman" w:cstheme="minorHAnsi"/>
          <w:sz w:val="24"/>
          <w:szCs w:val="24"/>
          <w:lang w:eastAsia="en-ZA"/>
        </w:rPr>
      </w:pPr>
    </w:p>
    <w:p w14:paraId="20BDCB3D" w14:textId="2C2AA613" w:rsidR="00325DD2" w:rsidRDefault="00325DD2" w:rsidP="0084244D">
      <w:pPr>
        <w:spacing w:before="100" w:beforeAutospacing="1" w:after="100" w:afterAutospacing="1" w:line="240" w:lineRule="auto"/>
        <w:rPr>
          <w:rFonts w:eastAsia="Times New Roman" w:cstheme="minorHAnsi"/>
          <w:sz w:val="24"/>
          <w:szCs w:val="24"/>
          <w:lang w:eastAsia="en-ZA"/>
        </w:rPr>
      </w:pPr>
    </w:p>
    <w:p w14:paraId="7B31E23E" w14:textId="77777777" w:rsidR="00325DD2" w:rsidRDefault="00325DD2" w:rsidP="0084244D">
      <w:pPr>
        <w:spacing w:before="100" w:beforeAutospacing="1" w:after="100" w:afterAutospacing="1" w:line="240" w:lineRule="auto"/>
        <w:rPr>
          <w:rFonts w:eastAsia="Times New Roman" w:cstheme="minorHAnsi"/>
          <w:sz w:val="24"/>
          <w:szCs w:val="24"/>
          <w:lang w:eastAsia="en-ZA"/>
        </w:rPr>
      </w:pPr>
    </w:p>
    <w:p w14:paraId="09E3DF24" w14:textId="77777777" w:rsidR="00A43FDE" w:rsidRDefault="00A43FDE" w:rsidP="0084244D">
      <w:pPr>
        <w:spacing w:before="100" w:beforeAutospacing="1" w:after="100" w:afterAutospacing="1" w:line="240" w:lineRule="auto"/>
        <w:rPr>
          <w:rFonts w:eastAsia="Times New Roman" w:cstheme="minorHAnsi"/>
          <w:sz w:val="24"/>
          <w:szCs w:val="24"/>
          <w:lang w:eastAsia="en-ZA"/>
        </w:rPr>
      </w:pPr>
    </w:p>
    <w:p w14:paraId="2B599228" w14:textId="77777777" w:rsidR="0084244D" w:rsidRPr="0084244D" w:rsidRDefault="0084244D" w:rsidP="0084244D">
      <w:pPr>
        <w:spacing w:before="100" w:beforeAutospacing="1" w:after="100" w:afterAutospacing="1" w:line="240" w:lineRule="auto"/>
        <w:rPr>
          <w:rFonts w:eastAsia="Times New Roman" w:cstheme="minorHAnsi"/>
          <w:sz w:val="24"/>
          <w:szCs w:val="24"/>
          <w:lang w:eastAsia="en-ZA"/>
        </w:rPr>
      </w:pPr>
    </w:p>
    <w:p w14:paraId="72AE3220" w14:textId="2E89700F" w:rsidR="0084244D" w:rsidRPr="0084244D" w:rsidRDefault="00A43FDE"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Express the</w:t>
      </w:r>
      <w:r w:rsidR="0084244D">
        <w:rPr>
          <w:rFonts w:eastAsia="Times New Roman" w:cstheme="minorHAnsi"/>
          <w:sz w:val="24"/>
          <w:szCs w:val="24"/>
          <w:lang w:eastAsia="en-ZA"/>
        </w:rPr>
        <w:t xml:space="preserve"> </w:t>
      </w:r>
      <w:r w:rsidR="009239AF">
        <w:rPr>
          <w:rFonts w:eastAsia="Times New Roman" w:cstheme="minorHAnsi"/>
          <w:sz w:val="24"/>
          <w:szCs w:val="24"/>
          <w:lang w:eastAsia="en-ZA"/>
        </w:rPr>
        <w:t>O</w:t>
      </w:r>
      <w:r w:rsidR="0084244D">
        <w:rPr>
          <w:rFonts w:eastAsia="Times New Roman" w:cstheme="minorHAnsi"/>
          <w:sz w:val="24"/>
          <w:szCs w:val="24"/>
          <w:lang w:eastAsia="en-ZA"/>
        </w:rPr>
        <w:t>R</w:t>
      </w:r>
      <w:r>
        <w:rPr>
          <w:rFonts w:eastAsia="Times New Roman" w:cstheme="minorHAnsi"/>
          <w:sz w:val="24"/>
          <w:szCs w:val="24"/>
          <w:lang w:eastAsia="en-ZA"/>
        </w:rPr>
        <w:t xml:space="preserve"> in words.</w:t>
      </w:r>
      <w:r w:rsidR="0084244D">
        <w:rPr>
          <w:rFonts w:eastAsia="Times New Roman" w:cstheme="minorHAnsi"/>
          <w:sz w:val="24"/>
          <w:szCs w:val="24"/>
          <w:lang w:eastAsia="en-ZA"/>
        </w:rPr>
        <w:t xml:space="preserve"> </w:t>
      </w:r>
    </w:p>
    <w:p w14:paraId="03791C02" w14:textId="67728B63" w:rsidR="00D10785" w:rsidRPr="008E0C4C" w:rsidRDefault="00D10785">
      <w:pPr>
        <w:rPr>
          <w:rFonts w:cstheme="minorHAnsi"/>
        </w:rPr>
      </w:pPr>
    </w:p>
    <w:sectPr w:rsidR="00D10785" w:rsidRPr="008E0C4C"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382BD" w14:textId="77777777" w:rsidR="006327F5" w:rsidRDefault="006327F5" w:rsidP="003737B6">
      <w:pPr>
        <w:spacing w:after="0" w:line="240" w:lineRule="auto"/>
      </w:pPr>
      <w:r>
        <w:separator/>
      </w:r>
    </w:p>
  </w:endnote>
  <w:endnote w:type="continuationSeparator" w:id="0">
    <w:p w14:paraId="0E8BDC67" w14:textId="77777777" w:rsidR="006327F5" w:rsidRDefault="006327F5"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08ED9" w14:textId="77777777" w:rsidR="006327F5" w:rsidRDefault="006327F5" w:rsidP="003737B6">
      <w:pPr>
        <w:spacing w:after="0" w:line="240" w:lineRule="auto"/>
      </w:pPr>
      <w:r>
        <w:separator/>
      </w:r>
    </w:p>
  </w:footnote>
  <w:footnote w:type="continuationSeparator" w:id="0">
    <w:p w14:paraId="0F3BCF3E" w14:textId="77777777" w:rsidR="006327F5" w:rsidRDefault="006327F5"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50F8"/>
    <w:multiLevelType w:val="hybridMultilevel"/>
    <w:tmpl w:val="1A12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25D4A"/>
    <w:multiLevelType w:val="hybridMultilevel"/>
    <w:tmpl w:val="B1522CB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92747"/>
    <w:multiLevelType w:val="hybridMultilevel"/>
    <w:tmpl w:val="24E83B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0"/>
  </w:num>
  <w:num w:numId="4">
    <w:abstractNumId w:val="6"/>
  </w:num>
  <w:num w:numId="5">
    <w:abstractNumId w:val="3"/>
  </w:num>
  <w:num w:numId="6">
    <w:abstractNumId w:val="2"/>
  </w:num>
  <w:num w:numId="7">
    <w:abstractNumId w:val="5"/>
  </w:num>
  <w:num w:numId="8">
    <w:abstractNumId w:val="8"/>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43E53"/>
    <w:rsid w:val="00080857"/>
    <w:rsid w:val="00135434"/>
    <w:rsid w:val="00216260"/>
    <w:rsid w:val="00325DD2"/>
    <w:rsid w:val="003737B6"/>
    <w:rsid w:val="003B4699"/>
    <w:rsid w:val="00486862"/>
    <w:rsid w:val="005B46EB"/>
    <w:rsid w:val="00613415"/>
    <w:rsid w:val="006327F5"/>
    <w:rsid w:val="006828FA"/>
    <w:rsid w:val="0069392F"/>
    <w:rsid w:val="006B230E"/>
    <w:rsid w:val="007D5886"/>
    <w:rsid w:val="0084244D"/>
    <w:rsid w:val="00845B57"/>
    <w:rsid w:val="00897D17"/>
    <w:rsid w:val="008B181F"/>
    <w:rsid w:val="008E0C4C"/>
    <w:rsid w:val="009239AF"/>
    <w:rsid w:val="009E1C1E"/>
    <w:rsid w:val="00A43FDE"/>
    <w:rsid w:val="00A52D36"/>
    <w:rsid w:val="00A5317F"/>
    <w:rsid w:val="00BD62DC"/>
    <w:rsid w:val="00C14CC3"/>
    <w:rsid w:val="00C22EC9"/>
    <w:rsid w:val="00C4045D"/>
    <w:rsid w:val="00D10785"/>
    <w:rsid w:val="00DD4C12"/>
    <w:rsid w:val="00E00B5E"/>
    <w:rsid w:val="00E87DFB"/>
    <w:rsid w:val="00ED13DE"/>
    <w:rsid w:val="00ED1573"/>
    <w:rsid w:val="00F46A3F"/>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712A6892-15E0-4BF3-B53C-25FBC65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 w:id="540674702">
          <w:marLeft w:val="0"/>
          <w:marRight w:val="0"/>
          <w:marTop w:val="0"/>
          <w:marBottom w:val="0"/>
          <w:divBdr>
            <w:top w:val="none" w:sz="0" w:space="0" w:color="auto"/>
            <w:left w:val="none" w:sz="0" w:space="0" w:color="auto"/>
            <w:bottom w:val="none" w:sz="0" w:space="0" w:color="auto"/>
            <w:right w:val="none" w:sz="0" w:space="0" w:color="auto"/>
          </w:divBdr>
        </w:div>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Moore+MV&amp;cauthor_id=28418482" TargetMode="External"/><Relationship Id="rId18" Type="http://schemas.openxmlformats.org/officeDocument/2006/relationships/hyperlink" Target="https://pubmed.ncbi.nlm.nih.gov/?term=Allen+J&amp;cauthor_id=2841848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med.ncbi.nlm.nih.gov/?term=Perera+R&amp;cauthor_id=28418482" TargetMode="External"/><Relationship Id="rId7" Type="http://schemas.openxmlformats.org/officeDocument/2006/relationships/settings" Target="settings.xml"/><Relationship Id="rId12" Type="http://schemas.openxmlformats.org/officeDocument/2006/relationships/hyperlink" Target="https://pubmed.ncbi.nlm.nih.gov/?term=Hay+AD&amp;cauthor_id=28418482" TargetMode="External"/><Relationship Id="rId17" Type="http://schemas.openxmlformats.org/officeDocument/2006/relationships/hyperlink" Target="https://pubmed.ncbi.nlm.nih.gov/?term=Cook+J&amp;cauthor_id=2841848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med.ncbi.nlm.nih.gov/?term=Voysey+M&amp;cauthor_id=28418482" TargetMode="External"/><Relationship Id="rId20" Type="http://schemas.openxmlformats.org/officeDocument/2006/relationships/hyperlink" Target="https://pubmed.ncbi.nlm.nih.gov/?term=Little+P&amp;cauthor_id=284184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Hayward+GN&amp;cauthor_id=28418482" TargetMode="External"/><Relationship Id="rId24" Type="http://schemas.openxmlformats.org/officeDocument/2006/relationships/hyperlink" Target="https://pubmed.ncbi.nlm.nih.gov/?term=Heneghan+C&amp;cauthor_id=28418482" TargetMode="External"/><Relationship Id="rId5" Type="http://schemas.openxmlformats.org/officeDocument/2006/relationships/numbering" Target="numbering.xml"/><Relationship Id="rId15" Type="http://schemas.openxmlformats.org/officeDocument/2006/relationships/hyperlink" Target="https://pubmed.ncbi.nlm.nih.gov/?term=Williams+N&amp;cauthor_id=28418482" TargetMode="External"/><Relationship Id="rId23" Type="http://schemas.openxmlformats.org/officeDocument/2006/relationships/hyperlink" Target="https://pubmed.ncbi.nlm.nih.gov/?term=Harman+K&amp;cauthor_id=28418482" TargetMode="External"/><Relationship Id="rId10" Type="http://schemas.openxmlformats.org/officeDocument/2006/relationships/endnotes" Target="endnotes.xml"/><Relationship Id="rId19" Type="http://schemas.openxmlformats.org/officeDocument/2006/relationships/hyperlink" Target="https://pubmed.ncbi.nlm.nih.gov/?term=Thompson+M&amp;cauthor_id=284184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Jawad+S&amp;cauthor_id=28418482" TargetMode="External"/><Relationship Id="rId22" Type="http://schemas.openxmlformats.org/officeDocument/2006/relationships/hyperlink" Target="https://pubmed.ncbi.nlm.nih.gov/?term=Wolstenholme+J&amp;cauthor_id=28418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4.xml><?xml version="1.0" encoding="utf-8"?>
<ds:datastoreItem xmlns:ds="http://schemas.openxmlformats.org/officeDocument/2006/customXml" ds:itemID="{97E838E8-650C-4A67-9A8C-CB7DA008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797</Words>
  <Characters>4547</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Worksheet: Analysing dichotomous data</vt:lpstr>
      <vt:lpstr>        Read the abstract  below and answer the questions that follow: </vt:lpstr>
      <vt:lpstr>        /Answer the questions below. You can use the space on the right side to draw 2x2</vt:lpstr>
      <vt:lpstr/>
      <vt:lpstr>Effect of Oral Dexamethasone Without Immediate Antibiotics vs Placebo on Acute S</vt:lpstr>
      <vt:lpstr>    Abstract </vt:lpstr>
      <vt:lpstr>Physical exercise programme during pregnancy decreases perinatal depression risk</vt:lpstr>
      <vt:lpstr>        Affiliations </vt:lpstr>
      <vt:lpstr>    Abstract </vt:lpstr>
    </vt:vector>
  </TitlesOfParts>
  <Company>Stellenbosch University</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15</cp:revision>
  <dcterms:created xsi:type="dcterms:W3CDTF">2020-09-16T07:59:00Z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