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69C1" w14:textId="7CD095F4" w:rsidR="00D10785" w:rsidRDefault="00DC5248" w:rsidP="00CC2CE8">
      <w:pPr>
        <w:pStyle w:val="Heading1"/>
        <w:rPr>
          <w:lang w:val="en-US"/>
        </w:rPr>
      </w:pPr>
      <w:r>
        <w:rPr>
          <w:lang w:val="en-US"/>
        </w:rPr>
        <w:t>Assessing risk of bias</w:t>
      </w:r>
      <w:r w:rsidR="00CC2CE8">
        <w:rPr>
          <w:lang w:val="en-US"/>
        </w:rPr>
        <w:t xml:space="preserve">: </w:t>
      </w:r>
      <w:r w:rsidR="00CB37A0">
        <w:rPr>
          <w:lang w:val="en-US"/>
        </w:rPr>
        <w:t>P</w:t>
      </w:r>
      <w:r w:rsidR="00CC2CE8">
        <w:rPr>
          <w:lang w:val="en-US"/>
        </w:rPr>
        <w:t xml:space="preserve">ackage-specific </w:t>
      </w:r>
      <w:r w:rsidR="0066134A">
        <w:rPr>
          <w:lang w:val="en-US"/>
        </w:rPr>
        <w:t xml:space="preserve">guidance </w:t>
      </w:r>
    </w:p>
    <w:p w14:paraId="55D08A40" w14:textId="3C54AD2A" w:rsidR="0066134A" w:rsidRDefault="0066134A" w:rsidP="0066134A">
      <w:pPr>
        <w:rPr>
          <w:lang w:val="en-US"/>
        </w:rPr>
      </w:pPr>
    </w:p>
    <w:p w14:paraId="017D2B05" w14:textId="65F665B2" w:rsidR="009C69A2" w:rsidRDefault="0066134A" w:rsidP="009C69A2">
      <w:pPr>
        <w:rPr>
          <w:lang w:val="en-US"/>
        </w:rPr>
      </w:pPr>
      <w:r>
        <w:rPr>
          <w:lang w:val="en-US"/>
        </w:rPr>
        <w:t>This guidance provides more information on the speci</w:t>
      </w:r>
      <w:r w:rsidR="00071723">
        <w:rPr>
          <w:lang w:val="en-US"/>
        </w:rPr>
        <w:t>fic learning package, related to the didactic input, interactive exercises and any important discussion point</w:t>
      </w:r>
      <w:r w:rsidR="005B7395">
        <w:rPr>
          <w:lang w:val="en-US"/>
        </w:rPr>
        <w:t>s</w:t>
      </w:r>
      <w:r w:rsidR="00071723">
        <w:rPr>
          <w:lang w:val="en-US"/>
        </w:rPr>
        <w:t xml:space="preserve">. For general information on planning </w:t>
      </w:r>
      <w:r w:rsidR="00870116">
        <w:rPr>
          <w:lang w:val="en-US"/>
        </w:rPr>
        <w:t xml:space="preserve">and implementing a </w:t>
      </w:r>
      <w:r w:rsidR="00F91682">
        <w:rPr>
          <w:lang w:val="en-US"/>
        </w:rPr>
        <w:t>workshop/</w:t>
      </w:r>
      <w:r w:rsidR="00870116">
        <w:rPr>
          <w:lang w:val="en-US"/>
        </w:rPr>
        <w:t xml:space="preserve">session, please consult the Trainers’ Guide. </w:t>
      </w:r>
    </w:p>
    <w:p w14:paraId="20EEB673" w14:textId="130A35B1" w:rsidR="00DB5F08" w:rsidRPr="0066134A" w:rsidRDefault="009C69A2" w:rsidP="000546DE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About the learning package</w:t>
      </w:r>
    </w:p>
    <w:p w14:paraId="32A54ECD" w14:textId="14A1DED8" w:rsidR="000546DE" w:rsidRDefault="000546DE" w:rsidP="000546DE">
      <w:pPr>
        <w:rPr>
          <w:lang w:val="en-US"/>
        </w:rPr>
      </w:pPr>
      <w:r>
        <w:rPr>
          <w:lang w:val="en-US"/>
        </w:rPr>
        <w:t xml:space="preserve">This learning package contains the following learning material: </w:t>
      </w:r>
    </w:p>
    <w:p w14:paraId="548B7D6C" w14:textId="17A1DD33" w:rsidR="000546DE" w:rsidRDefault="008603E7" w:rsidP="000546D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PowerPoint presentation on theoretical concepts</w:t>
      </w:r>
    </w:p>
    <w:p w14:paraId="5BE33B36" w14:textId="0D6F23B7" w:rsidR="008603E7" w:rsidRDefault="00E5107F" w:rsidP="000546D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CHOCC-ATT Exercise – Designing </w:t>
      </w:r>
      <w:r w:rsidR="007140D4">
        <w:rPr>
          <w:lang w:val="en-US"/>
        </w:rPr>
        <w:t>a trial</w:t>
      </w:r>
    </w:p>
    <w:p w14:paraId="6C73A245" w14:textId="6D956E1C" w:rsidR="008603E7" w:rsidRDefault="007140D4" w:rsidP="008603E7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Introductory PowerPoint presentation</w:t>
      </w:r>
    </w:p>
    <w:p w14:paraId="0A6FCBA5" w14:textId="6B5912F9" w:rsidR="008603E7" w:rsidRDefault="008603E7" w:rsidP="008603E7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Trainer</w:t>
      </w:r>
      <w:r w:rsidR="0046650C">
        <w:rPr>
          <w:lang w:val="en-US"/>
        </w:rPr>
        <w:t xml:space="preserve">s’ </w:t>
      </w:r>
      <w:r w:rsidR="007140D4">
        <w:rPr>
          <w:lang w:val="en-US"/>
        </w:rPr>
        <w:t>notes</w:t>
      </w:r>
    </w:p>
    <w:p w14:paraId="5339C3CE" w14:textId="0B74F97A" w:rsidR="007140D4" w:rsidRDefault="00EF4822" w:rsidP="007140D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DROPLET Exercise – Undertaking </w:t>
      </w:r>
      <w:r w:rsidR="00927631">
        <w:rPr>
          <w:lang w:val="en-US"/>
        </w:rPr>
        <w:t>a RoB2</w:t>
      </w:r>
      <w:r w:rsidR="00C557FC">
        <w:rPr>
          <w:lang w:val="en-US"/>
        </w:rPr>
        <w:t xml:space="preserve"> assessment</w:t>
      </w:r>
    </w:p>
    <w:p w14:paraId="219386AD" w14:textId="4B90ABC1" w:rsidR="00C557FC" w:rsidRDefault="00C557FC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Trainers’ notes</w:t>
      </w:r>
    </w:p>
    <w:p w14:paraId="0819E2C8" w14:textId="7657CCF9" w:rsidR="00C557FC" w:rsidRDefault="00C557FC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Main paper</w:t>
      </w:r>
      <w:r w:rsidR="00361222">
        <w:rPr>
          <w:lang w:val="en-US"/>
        </w:rPr>
        <w:t xml:space="preserve"> (DROPLET study)</w:t>
      </w:r>
    </w:p>
    <w:p w14:paraId="215F5848" w14:textId="578502B8" w:rsidR="00361222" w:rsidRDefault="00361222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Supplementary data linked to main paper</w:t>
      </w:r>
    </w:p>
    <w:p w14:paraId="24C62E7A" w14:textId="711EB205" w:rsidR="00361222" w:rsidRDefault="00812661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DROPLET study protocol</w:t>
      </w:r>
    </w:p>
    <w:p w14:paraId="41A04DB2" w14:textId="110A6A4D" w:rsidR="00812661" w:rsidRDefault="00812661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DROPLET registry entry</w:t>
      </w:r>
    </w:p>
    <w:p w14:paraId="579CB7E1" w14:textId="6710E084" w:rsidR="00994960" w:rsidRDefault="00994960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RoB template</w:t>
      </w:r>
    </w:p>
    <w:p w14:paraId="7FF994B4" w14:textId="4291CE15" w:rsidR="00812661" w:rsidRDefault="00812661" w:rsidP="00C557F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Completed RoB 2 assessment </w:t>
      </w:r>
    </w:p>
    <w:p w14:paraId="3A8E1A3D" w14:textId="74392D1E" w:rsidR="00211667" w:rsidRDefault="00211667" w:rsidP="0046650C">
      <w:pPr>
        <w:pStyle w:val="ListParagraph"/>
        <w:numPr>
          <w:ilvl w:val="0"/>
          <w:numId w:val="5"/>
        </w:numPr>
        <w:rPr>
          <w:lang w:val="en-US"/>
        </w:rPr>
      </w:pPr>
      <w:r w:rsidRPr="00EC636C">
        <w:rPr>
          <w:lang w:val="en-US"/>
        </w:rPr>
        <w:t>Mul</w:t>
      </w:r>
      <w:r w:rsidR="007E3E14" w:rsidRPr="00EC636C">
        <w:rPr>
          <w:lang w:val="en-US"/>
        </w:rPr>
        <w:t>t</w:t>
      </w:r>
      <w:r w:rsidRPr="00EC636C">
        <w:rPr>
          <w:lang w:val="en-US"/>
        </w:rPr>
        <w:t xml:space="preserve">imedia </w:t>
      </w:r>
    </w:p>
    <w:p w14:paraId="5084C871" w14:textId="6AA4CD78" w:rsidR="00994960" w:rsidRDefault="002F601A" w:rsidP="00994960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Links to YouTube videos on:</w:t>
      </w:r>
    </w:p>
    <w:p w14:paraId="4F6B5A92" w14:textId="6864008E" w:rsidR="002F601A" w:rsidRDefault="002F601A" w:rsidP="002F601A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What is bias and what is risk of bias?</w:t>
      </w:r>
    </w:p>
    <w:p w14:paraId="5F763EDF" w14:textId="27C94C58" w:rsidR="002F601A" w:rsidRDefault="002F601A" w:rsidP="002F601A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 xml:space="preserve">Allocation concealment – central randomization </w:t>
      </w:r>
    </w:p>
    <w:p w14:paraId="70828C08" w14:textId="0DFA1BB3" w:rsidR="002F601A" w:rsidRDefault="002F601A" w:rsidP="002F601A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Allocation concealment – sealed, opaque envelopes</w:t>
      </w:r>
    </w:p>
    <w:p w14:paraId="4F056217" w14:textId="6FAFBCD5" w:rsidR="002F601A" w:rsidRDefault="002F601A" w:rsidP="002F601A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Allocat</w:t>
      </w:r>
      <w:r w:rsidR="00BD72D7">
        <w:rPr>
          <w:lang w:val="en-US"/>
        </w:rPr>
        <w:t>i</w:t>
      </w:r>
      <w:r>
        <w:rPr>
          <w:lang w:val="en-US"/>
        </w:rPr>
        <w:t>on concealment – open list</w:t>
      </w:r>
    </w:p>
    <w:p w14:paraId="587832F5" w14:textId="7CD00669" w:rsidR="002F601A" w:rsidRDefault="002F601A" w:rsidP="002F601A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Allocation concealment – open envelopes</w:t>
      </w:r>
    </w:p>
    <w:p w14:paraId="5392D537" w14:textId="5267ACB4" w:rsidR="002F601A" w:rsidRPr="00EC636C" w:rsidRDefault="002F601A" w:rsidP="002F601A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Blinding outcome assessors – does it matter?</w:t>
      </w:r>
    </w:p>
    <w:p w14:paraId="23CA75DD" w14:textId="3C02BBC8" w:rsidR="00FE71C9" w:rsidRDefault="008A2E1E" w:rsidP="00FE71C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Additional resources</w:t>
      </w:r>
    </w:p>
    <w:p w14:paraId="44A4680A" w14:textId="20C30B38" w:rsidR="005D71D5" w:rsidRDefault="005D71D5" w:rsidP="008A2E1E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Link to the current version of the Risk of bias 2 tool</w:t>
      </w:r>
    </w:p>
    <w:p w14:paraId="63AD33A8" w14:textId="1C0D4889" w:rsidR="00BA7313" w:rsidRDefault="00BA7313" w:rsidP="008A2E1E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 to </w:t>
      </w:r>
      <w:r w:rsidR="00C6526A">
        <w:rPr>
          <w:lang w:val="en-US"/>
        </w:rPr>
        <w:t xml:space="preserve">recorded </w:t>
      </w:r>
      <w:r>
        <w:rPr>
          <w:lang w:val="en-US"/>
        </w:rPr>
        <w:t>Risk of bias (RoB2) webinar series</w:t>
      </w:r>
      <w:r w:rsidR="00C6526A">
        <w:rPr>
          <w:lang w:val="en-US"/>
        </w:rPr>
        <w:t xml:space="preserve"> </w:t>
      </w:r>
    </w:p>
    <w:p w14:paraId="759236BC" w14:textId="0B18C1EB" w:rsidR="005D71D5" w:rsidRDefault="005D71D5" w:rsidP="005D71D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 to the Cochrane Interactive Learning module </w:t>
      </w:r>
      <w:r>
        <w:rPr>
          <w:lang w:val="en-US"/>
        </w:rPr>
        <w:t>5</w:t>
      </w:r>
    </w:p>
    <w:p w14:paraId="054AD0DF" w14:textId="1731DF7E" w:rsidR="005D71D5" w:rsidRDefault="005D71D5" w:rsidP="005D71D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 to Cochrane Handbook Chapter </w:t>
      </w:r>
      <w:r>
        <w:rPr>
          <w:lang w:val="en-US"/>
        </w:rPr>
        <w:t>8</w:t>
      </w:r>
    </w:p>
    <w:p w14:paraId="223BB72E" w14:textId="77777777" w:rsidR="005D71D5" w:rsidRPr="007E1C11" w:rsidRDefault="005D71D5" w:rsidP="005D71D5">
      <w:pPr>
        <w:pStyle w:val="ListParagraph"/>
        <w:numPr>
          <w:ilvl w:val="1"/>
          <w:numId w:val="5"/>
        </w:numPr>
        <w:rPr>
          <w:lang w:val="en-US"/>
        </w:rPr>
      </w:pPr>
      <w:r w:rsidRPr="007E1C11">
        <w:rPr>
          <w:lang w:val="en-US"/>
        </w:rPr>
        <w:t xml:space="preserve">Links to the relevant MECIR standards </w:t>
      </w:r>
    </w:p>
    <w:p w14:paraId="1584142E" w14:textId="30DAAD44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Using the presentation</w:t>
      </w:r>
    </w:p>
    <w:p w14:paraId="3256FEF1" w14:textId="00DFEA1D" w:rsidR="002953D1" w:rsidRPr="002953D1" w:rsidRDefault="00823F3D" w:rsidP="002953D1">
      <w:pPr>
        <w:rPr>
          <w:lang w:val="en-US"/>
        </w:rPr>
      </w:pPr>
      <w:r>
        <w:rPr>
          <w:lang w:val="en-US"/>
        </w:rPr>
        <w:t xml:space="preserve">The PowerPoint presentation </w:t>
      </w:r>
      <w:r w:rsidR="007F3481">
        <w:rPr>
          <w:lang w:val="en-US"/>
        </w:rPr>
        <w:t>contains the didactic input for this learning package.</w:t>
      </w:r>
      <w:r w:rsidR="00EF5260">
        <w:rPr>
          <w:lang w:val="en-US"/>
        </w:rPr>
        <w:t xml:space="preserve"> The Trainers’ Guide provides general information </w:t>
      </w:r>
      <w:r w:rsidR="007A0D09">
        <w:rPr>
          <w:lang w:val="en-US"/>
        </w:rPr>
        <w:t xml:space="preserve">and guidance </w:t>
      </w:r>
      <w:r w:rsidR="00EF5260">
        <w:rPr>
          <w:lang w:val="en-US"/>
        </w:rPr>
        <w:t xml:space="preserve">on </w:t>
      </w:r>
      <w:r w:rsidR="007A0D09">
        <w:rPr>
          <w:lang w:val="en-US"/>
        </w:rPr>
        <w:t xml:space="preserve">using the PowerPoint presentations (section 3.1). </w:t>
      </w:r>
      <w:r w:rsidR="000B572A">
        <w:rPr>
          <w:lang w:val="en-US"/>
        </w:rPr>
        <w:t xml:space="preserve">The presentation contains detailed notes and </w:t>
      </w:r>
      <w:r w:rsidR="00194C95">
        <w:rPr>
          <w:lang w:val="en-US"/>
        </w:rPr>
        <w:t xml:space="preserve">suggestions for discussion points. </w:t>
      </w:r>
      <w:r w:rsidR="00D87FDE">
        <w:rPr>
          <w:lang w:val="en-US"/>
        </w:rPr>
        <w:t xml:space="preserve">As this is quite a long presentation that contains a lot of </w:t>
      </w:r>
      <w:r w:rsidR="003E2811">
        <w:rPr>
          <w:lang w:val="en-US"/>
        </w:rPr>
        <w:t xml:space="preserve">new </w:t>
      </w:r>
      <w:r w:rsidR="00D87FDE">
        <w:rPr>
          <w:lang w:val="en-US"/>
        </w:rPr>
        <w:t xml:space="preserve">information, we suggest that you include enough breaks </w:t>
      </w:r>
      <w:r w:rsidR="003E2811">
        <w:rPr>
          <w:lang w:val="en-US"/>
        </w:rPr>
        <w:t xml:space="preserve">so that participants are not overwhelmed. </w:t>
      </w:r>
    </w:p>
    <w:p w14:paraId="2812D818" w14:textId="4E7F37D8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Implementing interactive exercises</w:t>
      </w:r>
    </w:p>
    <w:p w14:paraId="288B884D" w14:textId="01D6827A" w:rsidR="00045D87" w:rsidRPr="00045D87" w:rsidRDefault="00194C95" w:rsidP="00045D87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>CHOCC</w:t>
      </w:r>
      <w:r w:rsidR="00D73F1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 xml:space="preserve">-ATT Exercise: Designing </w:t>
      </w:r>
      <w:r w:rsidR="003A5A9F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 xml:space="preserve">a trial </w:t>
      </w:r>
    </w:p>
    <w:p w14:paraId="42A1EC4B" w14:textId="77777777" w:rsidR="00CF6481" w:rsidRDefault="00281FCE" w:rsidP="003046EB">
      <w:pPr>
        <w:rPr>
          <w:lang w:val="en-US"/>
        </w:rPr>
      </w:pPr>
      <w:r>
        <w:rPr>
          <w:lang w:val="en-US"/>
        </w:rPr>
        <w:t xml:space="preserve">This learning package contains detailed Trainers’ notes on implementing the CHOCC-ATT exercise. </w:t>
      </w:r>
      <w:r w:rsidR="009A2DD0">
        <w:rPr>
          <w:lang w:val="en-US"/>
        </w:rPr>
        <w:t>Th</w:t>
      </w:r>
      <w:r w:rsidR="00205C57">
        <w:rPr>
          <w:lang w:val="en-US"/>
        </w:rPr>
        <w:t xml:space="preserve">e aim of the exercise is ‘to identify methodological issues with the design and implementation of clinical trials </w:t>
      </w:r>
      <w:r w:rsidR="00725DA8">
        <w:rPr>
          <w:lang w:val="en-US"/>
        </w:rPr>
        <w:t xml:space="preserve">that influence the risk of bias, including three elements of the risk of bias assessment </w:t>
      </w:r>
      <w:r w:rsidR="00725DA8">
        <w:rPr>
          <w:lang w:val="en-US"/>
        </w:rPr>
        <w:lastRenderedPageBreak/>
        <w:t xml:space="preserve">tool: random sequence generation, allocation concealment and blinding.’ It is recommended that the exercise is conducted </w:t>
      </w:r>
      <w:r w:rsidR="00724B6B">
        <w:rPr>
          <w:lang w:val="en-US"/>
        </w:rPr>
        <w:t>as an introduction to the session, i.e. before presenting the didactic content.</w:t>
      </w:r>
    </w:p>
    <w:p w14:paraId="1BF003DE" w14:textId="0C2676EC" w:rsidR="00281FCE" w:rsidRDefault="00CF6481" w:rsidP="003046EB">
      <w:pPr>
        <w:rPr>
          <w:lang w:val="en-US"/>
        </w:rPr>
      </w:pPr>
      <w:r>
        <w:rPr>
          <w:lang w:val="en-US"/>
        </w:rPr>
        <w:t>The Trainer’s notes contain</w:t>
      </w:r>
      <w:r w:rsidR="0070430D">
        <w:rPr>
          <w:lang w:val="en-US"/>
        </w:rPr>
        <w:t xml:space="preserve"> a detailed description of the materials required, as well as the steps to implementing the exercise. </w:t>
      </w:r>
      <w:r w:rsidR="00B62E8A">
        <w:rPr>
          <w:lang w:val="en-US"/>
        </w:rPr>
        <w:t xml:space="preserve">At the end of the exercise, </w:t>
      </w:r>
      <w:r w:rsidR="00E77E41">
        <w:rPr>
          <w:lang w:val="en-US"/>
        </w:rPr>
        <w:t xml:space="preserve">you can hand out chocolates to the </w:t>
      </w:r>
      <w:r w:rsidR="0004474D">
        <w:rPr>
          <w:lang w:val="en-US"/>
        </w:rPr>
        <w:t xml:space="preserve">placebo group as well. </w:t>
      </w:r>
      <w:r w:rsidR="006C322A">
        <w:rPr>
          <w:lang w:val="en-US"/>
        </w:rPr>
        <w:t xml:space="preserve"> </w:t>
      </w:r>
      <w:r w:rsidR="00724B6B">
        <w:rPr>
          <w:lang w:val="en-US"/>
        </w:rPr>
        <w:t xml:space="preserve"> </w:t>
      </w:r>
    </w:p>
    <w:p w14:paraId="3AACFC19" w14:textId="4C511E69" w:rsidR="0004474D" w:rsidRDefault="001E56B6" w:rsidP="001E56B6">
      <w:pPr>
        <w:pStyle w:val="Heading3"/>
        <w:numPr>
          <w:ilvl w:val="1"/>
          <w:numId w:val="3"/>
        </w:numPr>
        <w:rPr>
          <w:lang w:val="en-US"/>
        </w:rPr>
      </w:pPr>
      <w:r>
        <w:rPr>
          <w:lang w:val="en-US"/>
        </w:rPr>
        <w:t>DROPLET Exercise: Undertaking a RoB 2 assessment</w:t>
      </w:r>
    </w:p>
    <w:p w14:paraId="01B05796" w14:textId="1D614A48" w:rsidR="00A90394" w:rsidRDefault="007F42E1" w:rsidP="00A90394">
      <w:r>
        <w:rPr>
          <w:lang w:val="en-US"/>
        </w:rPr>
        <w:t>This learning package contains detailed Trainers’ notes on implementing the DROPLET exercise. The</w:t>
      </w:r>
      <w:r w:rsidR="00A10774">
        <w:rPr>
          <w:lang w:val="en-US"/>
        </w:rPr>
        <w:t xml:space="preserve"> aim of this exercise is to ‘</w:t>
      </w:r>
      <w:r w:rsidR="00A90394">
        <w:rPr>
          <w:bCs/>
        </w:rPr>
        <w:t xml:space="preserve">gain experience in undertaking an assessment of risk of bias in a randomized trial using RoB 2’ and </w:t>
      </w:r>
      <w:r w:rsidR="005965B3">
        <w:rPr>
          <w:bCs/>
        </w:rPr>
        <w:t xml:space="preserve">to ‘gain experience of discussing disagreements in RoB 2 assessments with a fellow reviewer’. </w:t>
      </w:r>
      <w:r w:rsidR="00E72C17">
        <w:rPr>
          <w:bCs/>
        </w:rPr>
        <w:t xml:space="preserve">The exercise is based on the study: </w:t>
      </w:r>
      <w:r w:rsidR="006918DD" w:rsidRPr="007F20AD">
        <w:t>Doctor Referral of Overweight People to Low Energy total diet replacement Treatment (DROPLET): pragmatic randomised controlled trial</w:t>
      </w:r>
      <w:r w:rsidR="00E8260D">
        <w:t>.</w:t>
      </w:r>
      <w:r w:rsidR="0028479B">
        <w:rPr>
          <w:rStyle w:val="FootnoteReference"/>
        </w:rPr>
        <w:footnoteReference w:id="1"/>
      </w:r>
      <w:r w:rsidR="00E8260D">
        <w:t xml:space="preserve"> Materials available to the participants include the published manuscript, the published protocol, </w:t>
      </w:r>
      <w:r w:rsidR="007E010E">
        <w:t>the tr</w:t>
      </w:r>
      <w:r w:rsidR="005F0789">
        <w:t>ial</w:t>
      </w:r>
      <w:r w:rsidR="007E010E">
        <w:t xml:space="preserve"> registry entry and the </w:t>
      </w:r>
      <w:r w:rsidR="00A5391C">
        <w:t>RoB 2 assessment template.</w:t>
      </w:r>
      <w:r w:rsidR="0074662C">
        <w:t xml:space="preserve"> </w:t>
      </w:r>
      <w:r w:rsidR="006D4811">
        <w:t>The RoB 2 template is availabl</w:t>
      </w:r>
      <w:r w:rsidR="003D36BC">
        <w:t>e</w:t>
      </w:r>
      <w:r w:rsidR="0060534D">
        <w:t xml:space="preserve"> </w:t>
      </w:r>
      <w:r w:rsidR="003D36BC">
        <w:t>as an electronic file (Word or Excel)</w:t>
      </w:r>
      <w:r w:rsidR="0060534D">
        <w:t xml:space="preserve"> on the RoB website (</w:t>
      </w:r>
      <w:hyperlink r:id="rId8" w:history="1">
        <w:r w:rsidR="0060534D" w:rsidRPr="0097259A">
          <w:rPr>
            <w:rStyle w:val="Hyperlink"/>
          </w:rPr>
          <w:t>https://www.riskofbias.info/welcome/rob-2-0-tool/current-version-of-rob-2</w:t>
        </w:r>
      </w:hyperlink>
      <w:r w:rsidR="0060534D">
        <w:t>)</w:t>
      </w:r>
      <w:r w:rsidR="005E7814">
        <w:t xml:space="preserve">. </w:t>
      </w:r>
      <w:r w:rsidR="0060534D">
        <w:t xml:space="preserve">You can ask participants to download the Word or Excel file and complete these electronically, or you can print the Word templates to hand out as paper-based worksheets. </w:t>
      </w:r>
      <w:r w:rsidR="005E7814">
        <w:t xml:space="preserve">If you are planning to use the electronic files during the workshop, make sure that </w:t>
      </w:r>
      <w:r w:rsidR="007F758E">
        <w:t xml:space="preserve">all participants have a laptop with access to the file. Paper-based worksheets </w:t>
      </w:r>
      <w:r w:rsidR="005340D5">
        <w:t xml:space="preserve">might work better in settings where there can be power outages, and where </w:t>
      </w:r>
      <w:r w:rsidR="0060534D">
        <w:t xml:space="preserve">all </w:t>
      </w:r>
      <w:r w:rsidR="005340D5">
        <w:t>p</w:t>
      </w:r>
      <w:r w:rsidR="00EA4EBE">
        <w:t xml:space="preserve">articipants </w:t>
      </w:r>
      <w:r w:rsidR="0060534D">
        <w:t xml:space="preserve">will </w:t>
      </w:r>
      <w:r w:rsidR="00EA4EBE">
        <w:t xml:space="preserve">not necessarily have access to a laptop. </w:t>
      </w:r>
    </w:p>
    <w:p w14:paraId="4F555420" w14:textId="3EE229B3" w:rsidR="003E179A" w:rsidRDefault="00B31096" w:rsidP="00A90394">
      <w:pPr>
        <w:rPr>
          <w:bCs/>
        </w:rPr>
      </w:pPr>
      <w:r>
        <w:rPr>
          <w:bCs/>
        </w:rPr>
        <w:t>Although t</w:t>
      </w:r>
      <w:r w:rsidR="00643CDC">
        <w:rPr>
          <w:bCs/>
        </w:rPr>
        <w:t>his exercise can be d</w:t>
      </w:r>
      <w:r w:rsidR="00D01DB3">
        <w:rPr>
          <w:bCs/>
        </w:rPr>
        <w:t>o</w:t>
      </w:r>
      <w:r w:rsidR="00643CDC">
        <w:rPr>
          <w:bCs/>
        </w:rPr>
        <w:t xml:space="preserve">ne </w:t>
      </w:r>
      <w:r>
        <w:rPr>
          <w:bCs/>
        </w:rPr>
        <w:t>individually</w:t>
      </w:r>
      <w:r w:rsidR="00643CDC">
        <w:rPr>
          <w:bCs/>
        </w:rPr>
        <w:t>, in pairs or in small groups</w:t>
      </w:r>
      <w:r>
        <w:rPr>
          <w:bCs/>
        </w:rPr>
        <w:t xml:space="preserve">, </w:t>
      </w:r>
      <w:r w:rsidR="00A51BFA">
        <w:rPr>
          <w:bCs/>
        </w:rPr>
        <w:t xml:space="preserve">we suggest </w:t>
      </w:r>
      <w:r w:rsidR="002E7163">
        <w:rPr>
          <w:bCs/>
        </w:rPr>
        <w:t>making</w:t>
      </w:r>
      <w:r w:rsidR="00A51BFA">
        <w:rPr>
          <w:bCs/>
        </w:rPr>
        <w:t xml:space="preserve"> use of small groups</w:t>
      </w:r>
      <w:r w:rsidR="0060534D">
        <w:rPr>
          <w:bCs/>
        </w:rPr>
        <w:t xml:space="preserve"> so that participants have </w:t>
      </w:r>
      <w:r w:rsidR="00012CEF">
        <w:rPr>
          <w:bCs/>
        </w:rPr>
        <w:t>the opportunity to</w:t>
      </w:r>
      <w:r w:rsidR="003402D6">
        <w:rPr>
          <w:bCs/>
        </w:rPr>
        <w:t xml:space="preserve"> discuss their assessments</w:t>
      </w:r>
      <w:r w:rsidR="002C0D35">
        <w:rPr>
          <w:bCs/>
        </w:rPr>
        <w:t xml:space="preserve"> with others</w:t>
      </w:r>
      <w:r w:rsidR="003402D6">
        <w:rPr>
          <w:bCs/>
        </w:rPr>
        <w:t xml:space="preserve"> as</w:t>
      </w:r>
      <w:r w:rsidR="004A6C15">
        <w:rPr>
          <w:bCs/>
        </w:rPr>
        <w:t xml:space="preserve">. This </w:t>
      </w:r>
      <w:r w:rsidR="00317FBC">
        <w:rPr>
          <w:bCs/>
        </w:rPr>
        <w:t>collaborative learning</w:t>
      </w:r>
      <w:r w:rsidR="004A6C15">
        <w:rPr>
          <w:bCs/>
        </w:rPr>
        <w:t xml:space="preserve"> </w:t>
      </w:r>
      <w:r w:rsidR="009657B5">
        <w:rPr>
          <w:bCs/>
        </w:rPr>
        <w:t xml:space="preserve">approach </w:t>
      </w:r>
      <w:r w:rsidR="004A6C15">
        <w:rPr>
          <w:bCs/>
        </w:rPr>
        <w:t>enhances understanding of new and complex concepts</w:t>
      </w:r>
      <w:r w:rsidR="0060534D">
        <w:rPr>
          <w:bCs/>
        </w:rPr>
        <w:t xml:space="preserve"> and also mirrors the process of discussing and agreeing on judgements when conducting a systematic review</w:t>
      </w:r>
      <w:r w:rsidR="004A6C15">
        <w:rPr>
          <w:bCs/>
        </w:rPr>
        <w:t xml:space="preserve">. </w:t>
      </w:r>
      <w:r w:rsidR="00B45B6B">
        <w:rPr>
          <w:bCs/>
        </w:rPr>
        <w:t>Small groups should not exceed 4 participants, so that everyone has a chance to contribute</w:t>
      </w:r>
      <w:r w:rsidR="0011206C">
        <w:rPr>
          <w:bCs/>
        </w:rPr>
        <w:t xml:space="preserve"> to the discussions. </w:t>
      </w:r>
    </w:p>
    <w:p w14:paraId="269AAC6F" w14:textId="11C35887" w:rsidR="00C80D80" w:rsidRDefault="0011206C" w:rsidP="00A90394">
      <w:pPr>
        <w:rPr>
          <w:bCs/>
        </w:rPr>
      </w:pPr>
      <w:r>
        <w:rPr>
          <w:bCs/>
        </w:rPr>
        <w:t xml:space="preserve">This exercise requires a lot of time. We suggest </w:t>
      </w:r>
      <w:r w:rsidR="002E7163">
        <w:rPr>
          <w:bCs/>
        </w:rPr>
        <w:t>allowing</w:t>
      </w:r>
      <w:r w:rsidR="0054226E">
        <w:rPr>
          <w:bCs/>
        </w:rPr>
        <w:t xml:space="preserve"> </w:t>
      </w:r>
      <w:r w:rsidR="00AD5EEE">
        <w:rPr>
          <w:bCs/>
        </w:rPr>
        <w:t xml:space="preserve">at least one, but ideally </w:t>
      </w:r>
      <w:r w:rsidR="00A4073F">
        <w:rPr>
          <w:bCs/>
        </w:rPr>
        <w:t>two</w:t>
      </w:r>
      <w:r w:rsidR="0054226E">
        <w:rPr>
          <w:bCs/>
        </w:rPr>
        <w:t xml:space="preserve"> hours for participants to read the trial</w:t>
      </w:r>
      <w:r w:rsidR="00B70943">
        <w:rPr>
          <w:bCs/>
        </w:rPr>
        <w:t xml:space="preserve"> and </w:t>
      </w:r>
      <w:r w:rsidR="0054226E">
        <w:rPr>
          <w:bCs/>
        </w:rPr>
        <w:t>complete the risk of bias assessment</w:t>
      </w:r>
      <w:r w:rsidR="00B9652F">
        <w:rPr>
          <w:bCs/>
        </w:rPr>
        <w:t xml:space="preserve">. Facilitators can assist </w:t>
      </w:r>
      <w:r w:rsidR="00AD5EEE">
        <w:rPr>
          <w:bCs/>
        </w:rPr>
        <w:t xml:space="preserve">small </w:t>
      </w:r>
      <w:r w:rsidR="00B9652F">
        <w:rPr>
          <w:bCs/>
        </w:rPr>
        <w:t>groups</w:t>
      </w:r>
      <w:r w:rsidR="00AD5EEE">
        <w:rPr>
          <w:bCs/>
        </w:rPr>
        <w:t xml:space="preserve"> </w:t>
      </w:r>
      <w:r w:rsidR="00B9652F">
        <w:rPr>
          <w:bCs/>
        </w:rPr>
        <w:t xml:space="preserve">by </w:t>
      </w:r>
      <w:r w:rsidR="00B56D36">
        <w:rPr>
          <w:bCs/>
        </w:rPr>
        <w:t>moving through the room and engaging with individual groups,</w:t>
      </w:r>
      <w:r w:rsidR="00BD134D">
        <w:rPr>
          <w:bCs/>
        </w:rPr>
        <w:t xml:space="preserve"> to clarify concepts and answer questions</w:t>
      </w:r>
      <w:r w:rsidR="00E46D6F">
        <w:rPr>
          <w:bCs/>
        </w:rPr>
        <w:t xml:space="preserve"> (Trainer’s guide Section</w:t>
      </w:r>
      <w:r w:rsidR="0026663C">
        <w:rPr>
          <w:bCs/>
        </w:rPr>
        <w:t xml:space="preserve"> 3.1)</w:t>
      </w:r>
      <w:r w:rsidR="006D2A9C">
        <w:rPr>
          <w:bCs/>
        </w:rPr>
        <w:t>. Once all the groups have completed their RoB assessment,</w:t>
      </w:r>
      <w:r w:rsidR="00386DD2">
        <w:rPr>
          <w:bCs/>
        </w:rPr>
        <w:t xml:space="preserve"> allow about 30-40 minutes for feedback. Depending on the number of groups, you can ask each group to share </w:t>
      </w:r>
      <w:r w:rsidR="002F00D9">
        <w:rPr>
          <w:bCs/>
        </w:rPr>
        <w:t xml:space="preserve">and explain </w:t>
      </w:r>
      <w:r w:rsidR="00386DD2">
        <w:rPr>
          <w:bCs/>
        </w:rPr>
        <w:t>their assessment of one of the domains</w:t>
      </w:r>
      <w:r w:rsidR="00C80D80">
        <w:rPr>
          <w:bCs/>
        </w:rPr>
        <w:t>.</w:t>
      </w:r>
      <w:r w:rsidR="00E415FD">
        <w:rPr>
          <w:bCs/>
        </w:rPr>
        <w:t xml:space="preserve"> At the end of the feedback session, you</w:t>
      </w:r>
      <w:r w:rsidR="00C37278">
        <w:rPr>
          <w:bCs/>
        </w:rPr>
        <w:t xml:space="preserve"> can distribute the s</w:t>
      </w:r>
      <w:r w:rsidR="00C37278">
        <w:t>uggested RoB 2 assessment for the DROPLET tr</w:t>
      </w:r>
      <w:r w:rsidR="009157F8">
        <w:t xml:space="preserve">ial, which is </w:t>
      </w:r>
      <w:r w:rsidR="00C37278">
        <w:t>also include</w:t>
      </w:r>
      <w:r w:rsidR="009157F8">
        <w:t>d</w:t>
      </w:r>
      <w:r w:rsidR="00C37278">
        <w:t xml:space="preserve"> in this package</w:t>
      </w:r>
      <w:r w:rsidR="009157F8">
        <w:t xml:space="preserve">. You should emphasise that this is illustrative of a completed RoB assessment </w:t>
      </w:r>
      <w:r w:rsidR="00F47884">
        <w:t xml:space="preserve">and should not be seen as a ‘solution sheet’. RoB assessment requires a lot of judgements, and as long as these are substantiated, there is seldom a right or wrong answer. </w:t>
      </w:r>
    </w:p>
    <w:p w14:paraId="399BDD24" w14:textId="2FF2B680" w:rsidR="0011206C" w:rsidRDefault="00C80D80" w:rsidP="00A90394">
      <w:pPr>
        <w:rPr>
          <w:bCs/>
        </w:rPr>
      </w:pPr>
      <w:r w:rsidRPr="008548EA">
        <w:rPr>
          <w:lang w:val="en-US"/>
        </w:rPr>
        <w:t>We suggest that you include this exercise after you have completed the didactic input, as this will help participants apply the new knowledge that they acquired during the presentation.</w:t>
      </w:r>
      <w:r>
        <w:rPr>
          <w:lang w:val="en-US"/>
        </w:rPr>
        <w:t xml:space="preserve"> However, you can also</w:t>
      </w:r>
      <w:r w:rsidR="00FD5C09">
        <w:rPr>
          <w:lang w:val="en-US"/>
        </w:rPr>
        <w:t xml:space="preserve"> break up the exercise into sections </w:t>
      </w:r>
      <w:r w:rsidR="009B1998">
        <w:rPr>
          <w:lang w:val="en-US"/>
        </w:rPr>
        <w:t xml:space="preserve">so that participants assess the risk of bias </w:t>
      </w:r>
      <w:r w:rsidR="00910223">
        <w:rPr>
          <w:lang w:val="en-US"/>
        </w:rPr>
        <w:t>in the DROPLET study</w:t>
      </w:r>
      <w:r w:rsidR="006D4811">
        <w:rPr>
          <w:lang w:val="en-US"/>
        </w:rPr>
        <w:t xml:space="preserve"> </w:t>
      </w:r>
      <w:r w:rsidR="009B1998">
        <w:rPr>
          <w:lang w:val="en-US"/>
        </w:rPr>
        <w:t xml:space="preserve">after the relevant domain was covered in the presentation. </w:t>
      </w:r>
    </w:p>
    <w:p w14:paraId="4C742F9E" w14:textId="2C66E956" w:rsidR="00F47884" w:rsidRDefault="005E7A87" w:rsidP="00F47884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Discussion points </w:t>
      </w:r>
    </w:p>
    <w:p w14:paraId="031260D0" w14:textId="4F729889" w:rsidR="00F47884" w:rsidRDefault="00F47884" w:rsidP="00F47884">
      <w:pPr>
        <w:rPr>
          <w:lang w:val="en-US"/>
        </w:rPr>
      </w:pPr>
      <w:r>
        <w:rPr>
          <w:lang w:val="en-US"/>
        </w:rPr>
        <w:t>This is usually one of the more difficult topics to cover</w:t>
      </w:r>
      <w:r w:rsidR="00934471">
        <w:rPr>
          <w:lang w:val="en-US"/>
        </w:rPr>
        <w:t xml:space="preserve">. On the one hand there are complex new concepts that are being introduced, and on the other hand, participants are required to </w:t>
      </w:r>
      <w:r w:rsidR="00AD5EEE">
        <w:rPr>
          <w:lang w:val="en-US"/>
        </w:rPr>
        <w:t xml:space="preserve">apply these concepts when making </w:t>
      </w:r>
      <w:r w:rsidR="00934471">
        <w:rPr>
          <w:lang w:val="en-US"/>
        </w:rPr>
        <w:t xml:space="preserve">judgements about </w:t>
      </w:r>
      <w:r w:rsidR="00AD5EEE">
        <w:rPr>
          <w:lang w:val="en-US"/>
        </w:rPr>
        <w:t xml:space="preserve">risk of bias in a </w:t>
      </w:r>
      <w:r w:rsidR="00BA5F38">
        <w:rPr>
          <w:lang w:val="en-US"/>
        </w:rPr>
        <w:t xml:space="preserve">trial. The </w:t>
      </w:r>
      <w:r w:rsidR="00272BF4">
        <w:rPr>
          <w:lang w:val="en-US"/>
        </w:rPr>
        <w:t>PowerPoint</w:t>
      </w:r>
      <w:r w:rsidR="00BA5F38">
        <w:rPr>
          <w:lang w:val="en-US"/>
        </w:rPr>
        <w:t xml:space="preserve"> presentation</w:t>
      </w:r>
      <w:r w:rsidR="00375D1B">
        <w:rPr>
          <w:lang w:val="en-US"/>
        </w:rPr>
        <w:t xml:space="preserve"> of didactic input</w:t>
      </w:r>
      <w:r w:rsidR="00BA5F38">
        <w:rPr>
          <w:lang w:val="en-US"/>
        </w:rPr>
        <w:t xml:space="preserve"> contains a lot of </w:t>
      </w:r>
      <w:r w:rsidR="00375D1B">
        <w:rPr>
          <w:lang w:val="en-US"/>
        </w:rPr>
        <w:t xml:space="preserve">useful </w:t>
      </w:r>
      <w:r w:rsidR="00BA5F38">
        <w:rPr>
          <w:lang w:val="en-US"/>
        </w:rPr>
        <w:t xml:space="preserve">notes </w:t>
      </w:r>
      <w:r w:rsidR="00375D1B">
        <w:rPr>
          <w:lang w:val="en-US"/>
        </w:rPr>
        <w:t>and tips for discussion points</w:t>
      </w:r>
      <w:r w:rsidR="00272BF4">
        <w:rPr>
          <w:lang w:val="en-US"/>
        </w:rPr>
        <w:t xml:space="preserve">, such as clarifying the difference between allocation concealment and blinding. </w:t>
      </w:r>
    </w:p>
    <w:p w14:paraId="72FA744A" w14:textId="7A52A24C" w:rsidR="004B12D6" w:rsidRDefault="004B12D6" w:rsidP="00F47884">
      <w:pPr>
        <w:rPr>
          <w:lang w:val="en-US"/>
        </w:rPr>
      </w:pPr>
      <w:r>
        <w:rPr>
          <w:lang w:val="en-US"/>
        </w:rPr>
        <w:t xml:space="preserve">It is important to highlight that risk of bias assessment is not a straightforward process. It requires thorough reading and understanding of the study being assessed, making judgements and discussing and agreeing on these with other authors. </w:t>
      </w:r>
      <w:r w:rsidR="0021280F">
        <w:rPr>
          <w:lang w:val="en-US"/>
        </w:rPr>
        <w:t xml:space="preserve">As mentioned, it is important to highlight that there is seldom a right or wrong answer to risk of bias. However, authors need to be transparent in how </w:t>
      </w:r>
      <w:r w:rsidR="00DF4B4D">
        <w:rPr>
          <w:lang w:val="en-US"/>
        </w:rPr>
        <w:t xml:space="preserve">and why </w:t>
      </w:r>
      <w:r w:rsidR="0021280F">
        <w:rPr>
          <w:lang w:val="en-US"/>
        </w:rPr>
        <w:t xml:space="preserve">they made </w:t>
      </w:r>
      <w:r w:rsidR="00DF4B4D">
        <w:rPr>
          <w:lang w:val="en-US"/>
        </w:rPr>
        <w:t xml:space="preserve">judgments. </w:t>
      </w:r>
    </w:p>
    <w:p w14:paraId="0FE3E74A" w14:textId="10139BD8" w:rsidR="005F6B6D" w:rsidRPr="00F47884" w:rsidRDefault="009258BF" w:rsidP="00F47884">
      <w:pPr>
        <w:rPr>
          <w:lang w:val="en-US"/>
        </w:rPr>
      </w:pPr>
      <w:r>
        <w:rPr>
          <w:lang w:val="en-US"/>
        </w:rPr>
        <w:t>To illustrate the complexity</w:t>
      </w:r>
      <w:r w:rsidR="00A0663E">
        <w:rPr>
          <w:lang w:val="en-US"/>
        </w:rPr>
        <w:t xml:space="preserve"> of assessing risk of bias,</w:t>
      </w:r>
      <w:r>
        <w:rPr>
          <w:lang w:val="en-US"/>
        </w:rPr>
        <w:t xml:space="preserve"> it is useful for facilitators to integrate as many examples as possible when exp</w:t>
      </w:r>
      <w:r w:rsidR="00A0663E">
        <w:rPr>
          <w:lang w:val="en-US"/>
        </w:rPr>
        <w:t>laining concepts. These can be personal experiences</w:t>
      </w:r>
      <w:r w:rsidR="00AD5EEE">
        <w:rPr>
          <w:lang w:val="en-US"/>
        </w:rPr>
        <w:t xml:space="preserve"> as review authors</w:t>
      </w:r>
      <w:r w:rsidR="00A0663E">
        <w:rPr>
          <w:lang w:val="en-US"/>
        </w:rPr>
        <w:t xml:space="preserve">, but also </w:t>
      </w:r>
      <w:r w:rsidR="00AD5EEE">
        <w:rPr>
          <w:lang w:val="en-US"/>
        </w:rPr>
        <w:t xml:space="preserve">a variety of </w:t>
      </w:r>
      <w:r w:rsidR="001F2694">
        <w:rPr>
          <w:lang w:val="en-US"/>
        </w:rPr>
        <w:t xml:space="preserve">illustrative examples of existing trials. </w:t>
      </w:r>
    </w:p>
    <w:p w14:paraId="64ADD7F2" w14:textId="30ACDF51" w:rsidR="00356B1F" w:rsidRPr="00356B1F" w:rsidRDefault="00356B1F" w:rsidP="00356B1F">
      <w:pPr>
        <w:rPr>
          <w:lang w:val="en-US"/>
        </w:rPr>
      </w:pPr>
      <w:r>
        <w:rPr>
          <w:lang w:val="en-US"/>
        </w:rPr>
        <w:t xml:space="preserve"> </w:t>
      </w:r>
    </w:p>
    <w:sectPr w:rsidR="00356B1F" w:rsidRPr="00356B1F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07634" w14:textId="77777777" w:rsidR="003C22A7" w:rsidRDefault="003C22A7" w:rsidP="0028479B">
      <w:pPr>
        <w:spacing w:after="0" w:line="240" w:lineRule="auto"/>
      </w:pPr>
      <w:r>
        <w:separator/>
      </w:r>
    </w:p>
  </w:endnote>
  <w:endnote w:type="continuationSeparator" w:id="0">
    <w:p w14:paraId="11176AA4" w14:textId="77777777" w:rsidR="003C22A7" w:rsidRDefault="003C22A7" w:rsidP="0028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B819" w14:textId="77777777" w:rsidR="003C22A7" w:rsidRDefault="003C22A7" w:rsidP="0028479B">
      <w:pPr>
        <w:spacing w:after="0" w:line="240" w:lineRule="auto"/>
      </w:pPr>
      <w:r>
        <w:separator/>
      </w:r>
    </w:p>
  </w:footnote>
  <w:footnote w:type="continuationSeparator" w:id="0">
    <w:p w14:paraId="66BAAE9C" w14:textId="77777777" w:rsidR="003C22A7" w:rsidRDefault="003C22A7" w:rsidP="0028479B">
      <w:pPr>
        <w:spacing w:after="0" w:line="240" w:lineRule="auto"/>
      </w:pPr>
      <w:r>
        <w:continuationSeparator/>
      </w:r>
    </w:p>
  </w:footnote>
  <w:footnote w:id="1">
    <w:p w14:paraId="65B69D05" w14:textId="77777777" w:rsidR="00E8260D" w:rsidRDefault="0028479B" w:rsidP="00E8260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="00E8260D" w:rsidRPr="007F20AD">
        <w:t>Astbury NM, Aveyard P, Nickless A, Hood K, Corfield K, Lowe R</w:t>
      </w:r>
      <w:r w:rsidR="00E8260D">
        <w:t>, Jebb SA</w:t>
      </w:r>
      <w:r w:rsidR="00E8260D" w:rsidRPr="007F20AD">
        <w:t>. Doctor Referral of Overweight People to Low Energy total diet replacement Treatment (DROPLET): pragmatic randomised controlled trial BMJ 2018; 362 :k3760 BMJ</w:t>
      </w:r>
      <w:r w:rsidR="00E8260D">
        <w:t xml:space="preserve">. doi: </w:t>
      </w:r>
      <w:r w:rsidR="00E8260D" w:rsidRPr="007F20AD">
        <w:t>10.1136/bmj.k3760</w:t>
      </w:r>
      <w:r w:rsidR="00E8260D">
        <w:t>.</w:t>
      </w:r>
    </w:p>
    <w:p w14:paraId="01F4BD20" w14:textId="29B2C2A7" w:rsidR="0028479B" w:rsidRPr="00E8260D" w:rsidRDefault="0028479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3670"/>
    <w:multiLevelType w:val="hybridMultilevel"/>
    <w:tmpl w:val="667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77773"/>
    <w:multiLevelType w:val="hybridMultilevel"/>
    <w:tmpl w:val="614C1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BFF3D48"/>
    <w:multiLevelType w:val="hybridMultilevel"/>
    <w:tmpl w:val="6F28E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0553"/>
    <w:multiLevelType w:val="hybridMultilevel"/>
    <w:tmpl w:val="CEB22384"/>
    <w:lvl w:ilvl="0" w:tplc="D5D853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A49"/>
    <w:multiLevelType w:val="multilevel"/>
    <w:tmpl w:val="C10C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156774C"/>
    <w:multiLevelType w:val="hybridMultilevel"/>
    <w:tmpl w:val="6530596C"/>
    <w:lvl w:ilvl="0" w:tplc="9070AD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55745"/>
    <w:multiLevelType w:val="multilevel"/>
    <w:tmpl w:val="65B8A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202C40"/>
    <w:multiLevelType w:val="hybridMultilevel"/>
    <w:tmpl w:val="D95A0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12CEF"/>
    <w:rsid w:val="00012EA3"/>
    <w:rsid w:val="00034135"/>
    <w:rsid w:val="0004474D"/>
    <w:rsid w:val="00045D87"/>
    <w:rsid w:val="000546DE"/>
    <w:rsid w:val="00055E72"/>
    <w:rsid w:val="000569C0"/>
    <w:rsid w:val="00064F3D"/>
    <w:rsid w:val="00071723"/>
    <w:rsid w:val="000738FD"/>
    <w:rsid w:val="00075DD5"/>
    <w:rsid w:val="00096BE3"/>
    <w:rsid w:val="000B572A"/>
    <w:rsid w:val="000E5B70"/>
    <w:rsid w:val="00105319"/>
    <w:rsid w:val="001110AA"/>
    <w:rsid w:val="0011206C"/>
    <w:rsid w:val="001247C1"/>
    <w:rsid w:val="00132802"/>
    <w:rsid w:val="00132EC4"/>
    <w:rsid w:val="00162B88"/>
    <w:rsid w:val="00194C95"/>
    <w:rsid w:val="001A2443"/>
    <w:rsid w:val="001C0BF2"/>
    <w:rsid w:val="001E0B5F"/>
    <w:rsid w:val="001E56B6"/>
    <w:rsid w:val="001F2694"/>
    <w:rsid w:val="00202B18"/>
    <w:rsid w:val="00205C57"/>
    <w:rsid w:val="00211667"/>
    <w:rsid w:val="0021280F"/>
    <w:rsid w:val="00214C61"/>
    <w:rsid w:val="00227120"/>
    <w:rsid w:val="002441F2"/>
    <w:rsid w:val="002500F5"/>
    <w:rsid w:val="0026663C"/>
    <w:rsid w:val="00272BF4"/>
    <w:rsid w:val="00281E80"/>
    <w:rsid w:val="00281FCE"/>
    <w:rsid w:val="0028479B"/>
    <w:rsid w:val="002953D1"/>
    <w:rsid w:val="002A7207"/>
    <w:rsid w:val="002C0D35"/>
    <w:rsid w:val="002C4E62"/>
    <w:rsid w:val="002D4C40"/>
    <w:rsid w:val="002E7163"/>
    <w:rsid w:val="002F00D9"/>
    <w:rsid w:val="002F2AC3"/>
    <w:rsid w:val="002F601A"/>
    <w:rsid w:val="003046EB"/>
    <w:rsid w:val="00317FBC"/>
    <w:rsid w:val="003402D6"/>
    <w:rsid w:val="00355F45"/>
    <w:rsid w:val="00356B1F"/>
    <w:rsid w:val="00360668"/>
    <w:rsid w:val="00361222"/>
    <w:rsid w:val="00375D1B"/>
    <w:rsid w:val="00380BF2"/>
    <w:rsid w:val="0038481A"/>
    <w:rsid w:val="00386DD2"/>
    <w:rsid w:val="003A5A9F"/>
    <w:rsid w:val="003C0DE5"/>
    <w:rsid w:val="003C22A7"/>
    <w:rsid w:val="003D36BC"/>
    <w:rsid w:val="003E179A"/>
    <w:rsid w:val="003E2811"/>
    <w:rsid w:val="00415070"/>
    <w:rsid w:val="0042543B"/>
    <w:rsid w:val="00432279"/>
    <w:rsid w:val="00434BFF"/>
    <w:rsid w:val="0046650C"/>
    <w:rsid w:val="004A13AA"/>
    <w:rsid w:val="004A2A26"/>
    <w:rsid w:val="004A6C15"/>
    <w:rsid w:val="004B12D6"/>
    <w:rsid w:val="004D156B"/>
    <w:rsid w:val="004E0E58"/>
    <w:rsid w:val="004F7FF9"/>
    <w:rsid w:val="00500C9B"/>
    <w:rsid w:val="005312C1"/>
    <w:rsid w:val="005340D5"/>
    <w:rsid w:val="00535405"/>
    <w:rsid w:val="0054226E"/>
    <w:rsid w:val="00543D27"/>
    <w:rsid w:val="005603C9"/>
    <w:rsid w:val="005713FF"/>
    <w:rsid w:val="005965B3"/>
    <w:rsid w:val="005A4FD8"/>
    <w:rsid w:val="005A68B5"/>
    <w:rsid w:val="005B7395"/>
    <w:rsid w:val="005C317B"/>
    <w:rsid w:val="005D71D5"/>
    <w:rsid w:val="005E3814"/>
    <w:rsid w:val="005E7814"/>
    <w:rsid w:val="005E7A87"/>
    <w:rsid w:val="005F0789"/>
    <w:rsid w:val="005F692F"/>
    <w:rsid w:val="005F6B6D"/>
    <w:rsid w:val="0060534D"/>
    <w:rsid w:val="00613415"/>
    <w:rsid w:val="006322AA"/>
    <w:rsid w:val="00643CDC"/>
    <w:rsid w:val="00644C5B"/>
    <w:rsid w:val="00657D8E"/>
    <w:rsid w:val="0066134A"/>
    <w:rsid w:val="00674CEA"/>
    <w:rsid w:val="006918DD"/>
    <w:rsid w:val="006936EE"/>
    <w:rsid w:val="006B0977"/>
    <w:rsid w:val="006C3100"/>
    <w:rsid w:val="006C322A"/>
    <w:rsid w:val="006C40F9"/>
    <w:rsid w:val="006D2A9C"/>
    <w:rsid w:val="006D3389"/>
    <w:rsid w:val="006D4811"/>
    <w:rsid w:val="00703813"/>
    <w:rsid w:val="0070430D"/>
    <w:rsid w:val="00707904"/>
    <w:rsid w:val="007140D4"/>
    <w:rsid w:val="00724B6B"/>
    <w:rsid w:val="00725DA8"/>
    <w:rsid w:val="00733415"/>
    <w:rsid w:val="0073392A"/>
    <w:rsid w:val="00744A91"/>
    <w:rsid w:val="00745D42"/>
    <w:rsid w:val="0074662C"/>
    <w:rsid w:val="00747399"/>
    <w:rsid w:val="00774806"/>
    <w:rsid w:val="0077720C"/>
    <w:rsid w:val="00780CBB"/>
    <w:rsid w:val="007A0D09"/>
    <w:rsid w:val="007A34E1"/>
    <w:rsid w:val="007A4C3A"/>
    <w:rsid w:val="007A4C41"/>
    <w:rsid w:val="007C4296"/>
    <w:rsid w:val="007D384C"/>
    <w:rsid w:val="007E010E"/>
    <w:rsid w:val="007E25B3"/>
    <w:rsid w:val="007E3E14"/>
    <w:rsid w:val="007E6039"/>
    <w:rsid w:val="007F3481"/>
    <w:rsid w:val="007F42E1"/>
    <w:rsid w:val="007F758E"/>
    <w:rsid w:val="00802D0E"/>
    <w:rsid w:val="0080395F"/>
    <w:rsid w:val="00812661"/>
    <w:rsid w:val="008146DE"/>
    <w:rsid w:val="0082027A"/>
    <w:rsid w:val="00823F3D"/>
    <w:rsid w:val="00830A1A"/>
    <w:rsid w:val="00851BB7"/>
    <w:rsid w:val="008548EA"/>
    <w:rsid w:val="008603E7"/>
    <w:rsid w:val="0086392B"/>
    <w:rsid w:val="00870116"/>
    <w:rsid w:val="00896D5F"/>
    <w:rsid w:val="008A2E1E"/>
    <w:rsid w:val="008A4DEB"/>
    <w:rsid w:val="008A5ED4"/>
    <w:rsid w:val="008B749B"/>
    <w:rsid w:val="008D0BE6"/>
    <w:rsid w:val="00910223"/>
    <w:rsid w:val="009157F8"/>
    <w:rsid w:val="00923643"/>
    <w:rsid w:val="009258BF"/>
    <w:rsid w:val="00927631"/>
    <w:rsid w:val="009338CD"/>
    <w:rsid w:val="00934471"/>
    <w:rsid w:val="009442BC"/>
    <w:rsid w:val="00945811"/>
    <w:rsid w:val="009657B5"/>
    <w:rsid w:val="00992E76"/>
    <w:rsid w:val="00994960"/>
    <w:rsid w:val="00994CB1"/>
    <w:rsid w:val="00995120"/>
    <w:rsid w:val="009A0547"/>
    <w:rsid w:val="009A262C"/>
    <w:rsid w:val="009A28C8"/>
    <w:rsid w:val="009A2DD0"/>
    <w:rsid w:val="009B1998"/>
    <w:rsid w:val="009C69A2"/>
    <w:rsid w:val="00A0663E"/>
    <w:rsid w:val="00A0690A"/>
    <w:rsid w:val="00A10774"/>
    <w:rsid w:val="00A4073F"/>
    <w:rsid w:val="00A51BFA"/>
    <w:rsid w:val="00A5391C"/>
    <w:rsid w:val="00A57C12"/>
    <w:rsid w:val="00A752D8"/>
    <w:rsid w:val="00A90394"/>
    <w:rsid w:val="00A9305A"/>
    <w:rsid w:val="00AA0113"/>
    <w:rsid w:val="00AA7F7D"/>
    <w:rsid w:val="00AD092C"/>
    <w:rsid w:val="00AD5EEE"/>
    <w:rsid w:val="00AE5D75"/>
    <w:rsid w:val="00AF707D"/>
    <w:rsid w:val="00B13795"/>
    <w:rsid w:val="00B31096"/>
    <w:rsid w:val="00B45B6B"/>
    <w:rsid w:val="00B56D36"/>
    <w:rsid w:val="00B62B5B"/>
    <w:rsid w:val="00B62E8A"/>
    <w:rsid w:val="00B6487D"/>
    <w:rsid w:val="00B70943"/>
    <w:rsid w:val="00B9652F"/>
    <w:rsid w:val="00BA4CAC"/>
    <w:rsid w:val="00BA5F38"/>
    <w:rsid w:val="00BA7313"/>
    <w:rsid w:val="00BC1C4C"/>
    <w:rsid w:val="00BC6B1B"/>
    <w:rsid w:val="00BD134D"/>
    <w:rsid w:val="00BD69E8"/>
    <w:rsid w:val="00BD72D7"/>
    <w:rsid w:val="00C2231F"/>
    <w:rsid w:val="00C37278"/>
    <w:rsid w:val="00C535D8"/>
    <w:rsid w:val="00C557FC"/>
    <w:rsid w:val="00C57224"/>
    <w:rsid w:val="00C61ABA"/>
    <w:rsid w:val="00C62254"/>
    <w:rsid w:val="00C6526A"/>
    <w:rsid w:val="00C80D80"/>
    <w:rsid w:val="00CA69CC"/>
    <w:rsid w:val="00CB37A0"/>
    <w:rsid w:val="00CC2CE8"/>
    <w:rsid w:val="00CC4E30"/>
    <w:rsid w:val="00CF6481"/>
    <w:rsid w:val="00D01DB3"/>
    <w:rsid w:val="00D10785"/>
    <w:rsid w:val="00D456F0"/>
    <w:rsid w:val="00D5308F"/>
    <w:rsid w:val="00D63550"/>
    <w:rsid w:val="00D730AD"/>
    <w:rsid w:val="00D73F13"/>
    <w:rsid w:val="00D8272F"/>
    <w:rsid w:val="00D87FDE"/>
    <w:rsid w:val="00DB3DF5"/>
    <w:rsid w:val="00DB5F08"/>
    <w:rsid w:val="00DC5248"/>
    <w:rsid w:val="00DF4B4D"/>
    <w:rsid w:val="00E13DA6"/>
    <w:rsid w:val="00E2545A"/>
    <w:rsid w:val="00E326AB"/>
    <w:rsid w:val="00E415FD"/>
    <w:rsid w:val="00E46D6F"/>
    <w:rsid w:val="00E5107F"/>
    <w:rsid w:val="00E66892"/>
    <w:rsid w:val="00E72C17"/>
    <w:rsid w:val="00E77E41"/>
    <w:rsid w:val="00E8260D"/>
    <w:rsid w:val="00E82E98"/>
    <w:rsid w:val="00EA4EBE"/>
    <w:rsid w:val="00EC636C"/>
    <w:rsid w:val="00EE13CA"/>
    <w:rsid w:val="00EE5493"/>
    <w:rsid w:val="00EF4822"/>
    <w:rsid w:val="00EF5260"/>
    <w:rsid w:val="00F12651"/>
    <w:rsid w:val="00F40890"/>
    <w:rsid w:val="00F46A3F"/>
    <w:rsid w:val="00F47884"/>
    <w:rsid w:val="00F574CD"/>
    <w:rsid w:val="00F744E4"/>
    <w:rsid w:val="00F904BC"/>
    <w:rsid w:val="00F91682"/>
    <w:rsid w:val="00F93322"/>
    <w:rsid w:val="00FA6A01"/>
    <w:rsid w:val="00FB4790"/>
    <w:rsid w:val="00FB7F08"/>
    <w:rsid w:val="00FC55CF"/>
    <w:rsid w:val="00FC60CD"/>
    <w:rsid w:val="00FD5C09"/>
    <w:rsid w:val="00FE6385"/>
    <w:rsid w:val="00FE6711"/>
    <w:rsid w:val="00FE71C9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3069"/>
  <w15:chartTrackingRefBased/>
  <w15:docId w15:val="{57C40AB6-A59D-442B-8969-4C1FB02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C69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5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8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4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kofbias.info/welcome/rob-2-0-tool/current-version-of-rob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8C54-CC78-42BF-A159-2282679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Assessing risk of bias: Package-specific guidance </vt:lpstr>
      <vt:lpstr>    About the learning package</vt:lpstr>
      <vt:lpstr>    Using the presentation</vt:lpstr>
      <vt:lpstr>    Implementing interactive exercises</vt:lpstr>
      <vt:lpstr>        DROPLET Exercise: Undertaking a RoB 2 assessment</vt:lpstr>
      <vt:lpstr>    Discussion points </vt:lpstr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 Sambunjak</cp:lastModifiedBy>
  <cp:revision>110</cp:revision>
  <dcterms:created xsi:type="dcterms:W3CDTF">2021-02-11T12:06:00Z</dcterms:created>
  <dcterms:modified xsi:type="dcterms:W3CDTF">2021-03-16T13:33:00Z</dcterms:modified>
</cp:coreProperties>
</file>